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D96B73" w:rsidP="001D7CFF">
      <w:pPr>
        <w:pStyle w:val="Header"/>
        <w:tabs>
          <w:tab w:val="right" w:pos="8280"/>
          <w:tab w:val="right" w:pos="9781"/>
        </w:tabs>
        <w:ind w:right="-58"/>
        <w:rPr>
          <w:bCs w:val="0"/>
          <w:noProof w:val="0"/>
          <w:sz w:val="24"/>
          <w:szCs w:val="24"/>
          <w:lang w:eastAsia="zh-CN"/>
        </w:rPr>
      </w:pPr>
      <w:bookmarkStart w:id="0" w:name="_GoBack"/>
      <w:bookmarkEnd w:id="0"/>
      <w:r>
        <w:rPr>
          <w:rFonts w:eastAsia="Batang"/>
          <w:bCs w:val="0"/>
          <w:noProof w:val="0"/>
          <w:sz w:val="24"/>
          <w:szCs w:val="24"/>
        </w:rPr>
        <w:t>3GPP TSG RAN WG1 Meeting #9</w:t>
      </w:r>
      <w:r w:rsidR="0028085B">
        <w:rPr>
          <w:rFonts w:eastAsia="Batang"/>
          <w:bCs w:val="0"/>
          <w:noProof w:val="0"/>
          <w:sz w:val="24"/>
          <w:szCs w:val="24"/>
        </w:rPr>
        <w:t>5</w:t>
      </w:r>
      <w:r w:rsidR="00653744" w:rsidRPr="0024666F">
        <w:rPr>
          <w:rFonts w:eastAsia="Batang"/>
          <w:bCs w:val="0"/>
          <w:noProof w:val="0"/>
          <w:sz w:val="24"/>
          <w:szCs w:val="24"/>
        </w:rPr>
        <w:tab/>
      </w:r>
      <w:r w:rsidR="00653744" w:rsidRPr="0024666F">
        <w:rPr>
          <w:rFonts w:eastAsia="Batang"/>
          <w:bCs w:val="0"/>
          <w:noProof w:val="0"/>
          <w:sz w:val="24"/>
          <w:szCs w:val="24"/>
        </w:rPr>
        <w:tab/>
      </w:r>
      <w:r w:rsidR="00E8058A">
        <w:rPr>
          <w:rFonts w:eastAsia="Batang"/>
          <w:bCs w:val="0"/>
          <w:noProof w:val="0"/>
          <w:sz w:val="24"/>
          <w:szCs w:val="24"/>
        </w:rPr>
        <w:t xml:space="preserve"> </w:t>
      </w:r>
      <w:r w:rsidR="00653744" w:rsidRPr="0024666F">
        <w:rPr>
          <w:rFonts w:eastAsia="Batang"/>
          <w:bCs w:val="0"/>
          <w:noProof w:val="0"/>
          <w:sz w:val="24"/>
          <w:szCs w:val="24"/>
        </w:rPr>
        <w:t>R1-</w:t>
      </w:r>
      <w:r w:rsidR="0004518D">
        <w:rPr>
          <w:rFonts w:eastAsia="Batang"/>
          <w:bCs w:val="0"/>
          <w:noProof w:val="0"/>
          <w:sz w:val="24"/>
          <w:szCs w:val="24"/>
        </w:rPr>
        <w:t>18</w:t>
      </w:r>
      <w:r w:rsidR="00E8058A">
        <w:rPr>
          <w:rFonts w:eastAsia="Batang"/>
          <w:bCs w:val="0"/>
          <w:noProof w:val="0"/>
          <w:sz w:val="24"/>
          <w:szCs w:val="24"/>
        </w:rPr>
        <w:t>1</w:t>
      </w:r>
      <w:r w:rsidR="00472D83">
        <w:rPr>
          <w:rFonts w:eastAsia="Batang"/>
          <w:bCs w:val="0"/>
          <w:noProof w:val="0"/>
          <w:sz w:val="24"/>
          <w:szCs w:val="24"/>
        </w:rPr>
        <w:t>35</w:t>
      </w:r>
      <w:r w:rsidR="00813F21">
        <w:rPr>
          <w:rFonts w:eastAsia="Batang"/>
          <w:bCs w:val="0"/>
          <w:noProof w:val="0"/>
          <w:sz w:val="24"/>
          <w:szCs w:val="24"/>
        </w:rPr>
        <w:t>20</w:t>
      </w:r>
    </w:p>
    <w:p w:rsidR="0004518D" w:rsidRDefault="002E7704" w:rsidP="00653744">
      <w:pPr>
        <w:spacing w:after="0"/>
        <w:ind w:left="1988" w:hanging="1988"/>
        <w:rPr>
          <w:rFonts w:ascii="Arial" w:eastAsia="Batang" w:hAnsi="Arial" w:cs="Arial"/>
          <w:b/>
          <w:sz w:val="24"/>
          <w:szCs w:val="24"/>
        </w:rPr>
      </w:pPr>
      <w:r w:rsidRPr="00405CC7">
        <w:rPr>
          <w:rFonts w:ascii="Arial" w:eastAsia="MS Mincho" w:hAnsi="Arial" w:cs="Arial"/>
          <w:b/>
          <w:bCs/>
          <w:sz w:val="24"/>
          <w:lang w:eastAsia="ja-JP"/>
        </w:rPr>
        <w:t>Spokane, USA, November 12</w:t>
      </w:r>
      <w:r w:rsidRPr="00405CC7">
        <w:rPr>
          <w:rFonts w:ascii="Arial" w:eastAsia="MS Mincho" w:hAnsi="Arial" w:cs="Arial"/>
          <w:b/>
          <w:bCs/>
          <w:sz w:val="24"/>
          <w:vertAlign w:val="superscript"/>
          <w:lang w:eastAsia="ja-JP"/>
        </w:rPr>
        <w:t>th</w:t>
      </w:r>
      <w:r w:rsidRPr="00405CC7">
        <w:rPr>
          <w:rFonts w:ascii="Arial" w:eastAsia="MS Mincho" w:hAnsi="Arial" w:cs="Arial"/>
          <w:b/>
          <w:bCs/>
          <w:sz w:val="24"/>
          <w:lang w:eastAsia="ja-JP"/>
        </w:rPr>
        <w:t xml:space="preserve"> – 16</w:t>
      </w:r>
      <w:r w:rsidRPr="00405CC7">
        <w:rPr>
          <w:rFonts w:ascii="Arial" w:eastAsia="MS Mincho" w:hAnsi="Arial" w:cs="Arial"/>
          <w:b/>
          <w:bCs/>
          <w:sz w:val="24"/>
          <w:vertAlign w:val="superscript"/>
          <w:lang w:eastAsia="ja-JP"/>
        </w:rPr>
        <w:t>th</w:t>
      </w:r>
      <w:r w:rsidRPr="00405CC7">
        <w:rPr>
          <w:rFonts w:ascii="Arial" w:eastAsia="MS Mincho" w:hAnsi="Arial" w:cs="Arial"/>
          <w:b/>
          <w:bCs/>
          <w:sz w:val="24"/>
          <w:lang w:eastAsia="ja-JP"/>
        </w:rPr>
        <w:t>, 2018</w:t>
      </w:r>
    </w:p>
    <w:p w:rsidR="00D96B73" w:rsidRDefault="00D96B73" w:rsidP="00653744">
      <w:pPr>
        <w:spacing w:after="0"/>
        <w:ind w:left="1988" w:hanging="1988"/>
        <w:rPr>
          <w:rFonts w:ascii="Arial" w:hAnsi="Arial" w:cs="Arial"/>
          <w:b/>
          <w:sz w:val="24"/>
        </w:rPr>
      </w:pPr>
    </w:p>
    <w:p w:rsidR="00653744" w:rsidRPr="0024666F" w:rsidRDefault="00653744" w:rsidP="00653744">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rsidR="00653744" w:rsidRPr="0024666F" w:rsidRDefault="00653744" w:rsidP="00F945A6">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FE3710">
        <w:rPr>
          <w:rFonts w:ascii="Arial" w:hAnsi="Arial" w:cs="Arial"/>
          <w:b/>
          <w:sz w:val="24"/>
        </w:rPr>
        <w:t xml:space="preserve">On </w:t>
      </w:r>
      <w:r w:rsidR="00986206">
        <w:rPr>
          <w:rFonts w:ascii="Arial" w:hAnsi="Arial" w:cs="Arial"/>
          <w:b/>
          <w:sz w:val="24"/>
        </w:rPr>
        <w:t xml:space="preserve">Sidelink </w:t>
      </w:r>
      <w:r w:rsidR="0028085B">
        <w:rPr>
          <w:rFonts w:ascii="Arial" w:hAnsi="Arial" w:cs="Arial"/>
          <w:b/>
          <w:sz w:val="24"/>
        </w:rPr>
        <w:t>physical layer procedures</w:t>
      </w:r>
    </w:p>
    <w:p w:rsidR="00653744" w:rsidRPr="0024666F" w:rsidRDefault="00653744" w:rsidP="00653744">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986206" w:rsidRPr="00986206">
        <w:rPr>
          <w:rFonts w:ascii="Arial" w:hAnsi="Arial" w:cs="Arial"/>
          <w:b/>
          <w:sz w:val="24"/>
        </w:rPr>
        <w:t>7.2.4.1.</w:t>
      </w:r>
      <w:r w:rsidR="0028085B">
        <w:rPr>
          <w:rFonts w:ascii="Arial" w:hAnsi="Arial" w:cs="Arial"/>
          <w:b/>
          <w:sz w:val="24"/>
        </w:rPr>
        <w:t>2</w:t>
      </w:r>
    </w:p>
    <w:p w:rsidR="00653744" w:rsidRPr="0024666F" w:rsidRDefault="00653744" w:rsidP="00653744">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rsidR="00653744" w:rsidRPr="0024666F" w:rsidRDefault="00653744" w:rsidP="00653744">
      <w:pPr>
        <w:spacing w:after="0"/>
        <w:ind w:left="1988" w:hanging="1988"/>
        <w:rPr>
          <w:rFonts w:ascii="Arial" w:hAnsi="Arial" w:cs="Arial"/>
          <w:b/>
          <w:sz w:val="24"/>
        </w:rPr>
      </w:pPr>
    </w:p>
    <w:p w:rsidR="0058787A" w:rsidRDefault="00653744" w:rsidP="002409E2">
      <w:pPr>
        <w:pStyle w:val="Heading1"/>
        <w:pBdr>
          <w:top w:val="single" w:sz="12" w:space="4" w:color="auto"/>
        </w:pBdr>
        <w:rPr>
          <w:lang w:val="en-US"/>
        </w:rPr>
      </w:pPr>
      <w:r w:rsidRPr="0024666F">
        <w:rPr>
          <w:lang w:val="en-US"/>
        </w:rPr>
        <w:t>Introduction</w:t>
      </w:r>
    </w:p>
    <w:p w:rsidR="0028085B" w:rsidRDefault="0028085B" w:rsidP="00A6533D">
      <w:pPr>
        <w:rPr>
          <w:rFonts w:ascii="Calibri" w:eastAsia="Calibri" w:hAnsi="Calibri" w:cs="Arial"/>
        </w:rPr>
      </w:pPr>
      <w:bookmarkStart w:id="1" w:name="_Hlk521660119"/>
      <w:r>
        <w:rPr>
          <w:rFonts w:ascii="Calibri" w:eastAsia="Calibri" w:hAnsi="Calibri" w:cs="Arial"/>
        </w:rPr>
        <w:t xml:space="preserve">Following the study on the SID “Study on NR V2X” (FS_NR_V2X) [1], RAN1 #94bis meeting has reached these agreements </w:t>
      </w:r>
      <w:r w:rsidR="00A37ACC">
        <w:rPr>
          <w:rFonts w:ascii="Calibri" w:eastAsia="Calibri" w:hAnsi="Calibri" w:cs="Arial"/>
        </w:rPr>
        <w:t xml:space="preserve">[3] </w:t>
      </w:r>
      <w:r>
        <w:rPr>
          <w:rFonts w:ascii="Calibri" w:eastAsia="Calibri" w:hAnsi="Calibri" w:cs="Arial"/>
        </w:rPr>
        <w:t>related to V2X sidelink physical layer procedures, including HARQ feedback, and CSI acquisition, etc.</w:t>
      </w:r>
    </w:p>
    <w:p w:rsidR="00573CA2" w:rsidRDefault="00573CA2" w:rsidP="00A6533D">
      <w:pPr>
        <w:rPr>
          <w:rFonts w:ascii="Calibri" w:eastAsia="Calibri" w:hAnsi="Calibri" w:cs="Arial"/>
        </w:rPr>
      </w:pPr>
      <w:r>
        <w:rPr>
          <w:rFonts w:ascii="Calibri" w:eastAsia="Calibri" w:hAnsi="Calibri" w:cs="Arial"/>
        </w:rPr>
        <w:t>This agreement is related destination/source 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085B" w:rsidRPr="0028085B" w:rsidTr="00636142">
        <w:tc>
          <w:tcPr>
            <w:tcW w:w="9629" w:type="dxa"/>
            <w:shd w:val="clear" w:color="auto" w:fill="auto"/>
          </w:tcPr>
          <w:p w:rsidR="0028085B" w:rsidRPr="0028085B" w:rsidRDefault="0028085B" w:rsidP="00636142">
            <w:pPr>
              <w:rPr>
                <w:rFonts w:ascii="Times New Roman" w:hAnsi="Times New Roman" w:cs="Times New Roman"/>
                <w:b/>
                <w:sz w:val="20"/>
                <w:szCs w:val="20"/>
              </w:rPr>
            </w:pPr>
            <w:r w:rsidRPr="0028085B">
              <w:rPr>
                <w:rFonts w:ascii="Times New Roman" w:hAnsi="Times New Roman" w:cs="Times New Roman"/>
                <w:b/>
                <w:sz w:val="20"/>
                <w:szCs w:val="20"/>
                <w:highlight w:val="green"/>
              </w:rPr>
              <w:t>Agreement:</w:t>
            </w:r>
          </w:p>
          <w:p w:rsidR="0028085B" w:rsidRPr="0028085B" w:rsidRDefault="0028085B" w:rsidP="0028085B">
            <w:pPr>
              <w:numPr>
                <w:ilvl w:val="0"/>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Layer-1 destination ID is conveyed via PSCCH.</w:t>
            </w:r>
          </w:p>
          <w:p w:rsidR="0028085B" w:rsidRPr="0028085B" w:rsidRDefault="0028085B" w:rsidP="0028085B">
            <w:pPr>
              <w:numPr>
                <w:ilvl w:val="1"/>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FFS how many bits are conveyed.</w:t>
            </w:r>
          </w:p>
          <w:p w:rsidR="0028085B" w:rsidRPr="0028085B" w:rsidRDefault="0028085B" w:rsidP="0028085B">
            <w:pPr>
              <w:numPr>
                <w:ilvl w:val="1"/>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FFS details for each of the unicast/groupcast/broadcast cases</w:t>
            </w:r>
          </w:p>
          <w:p w:rsidR="0028085B" w:rsidRPr="0028085B" w:rsidRDefault="0028085B" w:rsidP="0028085B">
            <w:pPr>
              <w:numPr>
                <w:ilvl w:val="0"/>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 xml:space="preserve">Additional Layer-1 ID(s) is conveyed via PSCCH at least for the purpose of identifying which transmissions can be combined in reception when HARQ feedback is in use. </w:t>
            </w:r>
          </w:p>
          <w:p w:rsidR="0028085B" w:rsidRPr="0028085B" w:rsidRDefault="0028085B" w:rsidP="0028085B">
            <w:pPr>
              <w:numPr>
                <w:ilvl w:val="1"/>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FFS whether this ID can be used for other HARQ feedback related operation.</w:t>
            </w:r>
          </w:p>
          <w:p w:rsidR="0028085B" w:rsidRPr="0028085B" w:rsidRDefault="0028085B" w:rsidP="0028085B">
            <w:pPr>
              <w:numPr>
                <w:ilvl w:val="1"/>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FFS other purpose</w:t>
            </w:r>
          </w:p>
          <w:p w:rsidR="0028085B" w:rsidRPr="0028085B" w:rsidRDefault="0028085B" w:rsidP="0028085B">
            <w:pPr>
              <w:numPr>
                <w:ilvl w:val="1"/>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FFS how many bits are conveyed.</w:t>
            </w:r>
          </w:p>
          <w:p w:rsidR="0028085B" w:rsidRPr="0028085B" w:rsidRDefault="0028085B" w:rsidP="0028085B">
            <w:pPr>
              <w:numPr>
                <w:ilvl w:val="0"/>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FFS details including how to convey the ID(s), e.g., whether the ID(s) is conveyed in the SCI or used for CRC scrambling.</w:t>
            </w:r>
          </w:p>
        </w:tc>
      </w:tr>
    </w:tbl>
    <w:p w:rsidR="00573CA2" w:rsidRDefault="00573CA2" w:rsidP="00A6533D">
      <w:pPr>
        <w:rPr>
          <w:rFonts w:ascii="Times New Roman" w:eastAsia="Calibri" w:hAnsi="Times New Roman" w:cs="Times New Roman"/>
          <w:sz w:val="20"/>
          <w:szCs w:val="20"/>
        </w:rPr>
      </w:pPr>
    </w:p>
    <w:p w:rsidR="00573CA2" w:rsidRPr="0028085B" w:rsidRDefault="00573CA2" w:rsidP="00A6533D">
      <w:pPr>
        <w:rPr>
          <w:rFonts w:ascii="Times New Roman" w:eastAsia="Calibri" w:hAnsi="Times New Roman" w:cs="Times New Roman"/>
          <w:sz w:val="20"/>
          <w:szCs w:val="20"/>
        </w:rPr>
      </w:pPr>
      <w:r>
        <w:rPr>
          <w:rFonts w:ascii="Calibri" w:eastAsia="Calibri" w:hAnsi="Calibri" w:cs="Arial"/>
        </w:rPr>
        <w:t>Sidelink HARQ feedback and combination are supported for unicast and groupcast: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085B" w:rsidRPr="0028085B" w:rsidTr="00636142">
        <w:tc>
          <w:tcPr>
            <w:tcW w:w="9629" w:type="dxa"/>
            <w:shd w:val="clear" w:color="auto" w:fill="auto"/>
          </w:tcPr>
          <w:p w:rsidR="0028085B" w:rsidRPr="0028085B" w:rsidRDefault="0028085B" w:rsidP="00636142">
            <w:pPr>
              <w:rPr>
                <w:rFonts w:ascii="Times New Roman" w:hAnsi="Times New Roman" w:cs="Times New Roman"/>
                <w:b/>
                <w:sz w:val="20"/>
                <w:szCs w:val="20"/>
              </w:rPr>
            </w:pPr>
            <w:r w:rsidRPr="0028085B">
              <w:rPr>
                <w:rFonts w:ascii="Times New Roman" w:hAnsi="Times New Roman" w:cs="Times New Roman"/>
                <w:b/>
                <w:sz w:val="20"/>
                <w:szCs w:val="20"/>
                <w:highlight w:val="green"/>
              </w:rPr>
              <w:t>Agreement:</w:t>
            </w:r>
          </w:p>
          <w:p w:rsidR="0028085B" w:rsidRPr="0028085B" w:rsidRDefault="0028085B" w:rsidP="0028085B">
            <w:pPr>
              <w:numPr>
                <w:ilvl w:val="0"/>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For unicast, sidelink HARQ feedback and HARQ combining in the physical layer are supported.</w:t>
            </w:r>
          </w:p>
          <w:p w:rsidR="0028085B" w:rsidRPr="0028085B" w:rsidRDefault="0028085B" w:rsidP="0028085B">
            <w:pPr>
              <w:numPr>
                <w:ilvl w:val="1"/>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FFS details, including the possibility of disabling HARQ in some scenarios</w:t>
            </w:r>
          </w:p>
          <w:p w:rsidR="0028085B" w:rsidRPr="0028085B" w:rsidRDefault="0028085B" w:rsidP="0028085B">
            <w:pPr>
              <w:numPr>
                <w:ilvl w:val="0"/>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For groupcast, sidelink HARQ feedback and HARQ combining in the physical layer are supported.</w:t>
            </w:r>
          </w:p>
          <w:p w:rsidR="0028085B" w:rsidRPr="0028085B" w:rsidRDefault="0028085B" w:rsidP="0028085B">
            <w:pPr>
              <w:numPr>
                <w:ilvl w:val="1"/>
                <w:numId w:val="21"/>
              </w:numPr>
              <w:spacing w:after="0" w:line="240" w:lineRule="auto"/>
              <w:rPr>
                <w:rFonts w:ascii="Times New Roman" w:hAnsi="Times New Roman" w:cs="Times New Roman"/>
                <w:sz w:val="20"/>
                <w:szCs w:val="20"/>
              </w:rPr>
            </w:pPr>
            <w:r w:rsidRPr="0028085B">
              <w:rPr>
                <w:rFonts w:ascii="Times New Roman" w:hAnsi="Times New Roman" w:cs="Times New Roman"/>
                <w:sz w:val="20"/>
                <w:szCs w:val="20"/>
              </w:rPr>
              <w:t>FFS details, including the possibility of disabling HARQ in some scenarios</w:t>
            </w:r>
          </w:p>
          <w:p w:rsidR="0028085B" w:rsidRPr="0028085B" w:rsidRDefault="0028085B" w:rsidP="0028085B">
            <w:pPr>
              <w:spacing w:after="0" w:line="240" w:lineRule="auto"/>
              <w:rPr>
                <w:rFonts w:ascii="Times New Roman" w:hAnsi="Times New Roman" w:cs="Times New Roman"/>
                <w:sz w:val="20"/>
                <w:szCs w:val="20"/>
              </w:rPr>
            </w:pPr>
          </w:p>
        </w:tc>
      </w:tr>
    </w:tbl>
    <w:p w:rsidR="0028085B" w:rsidRDefault="0028085B" w:rsidP="0028085B">
      <w:pPr>
        <w:rPr>
          <w:rFonts w:ascii="Times New Roman" w:eastAsia="Calibri" w:hAnsi="Times New Roman" w:cs="Times New Roman"/>
          <w:sz w:val="20"/>
          <w:szCs w:val="20"/>
        </w:rPr>
      </w:pPr>
    </w:p>
    <w:p w:rsidR="00573CA2" w:rsidRPr="0028085B" w:rsidRDefault="00573CA2" w:rsidP="0028085B">
      <w:pPr>
        <w:rPr>
          <w:rFonts w:ascii="Times New Roman" w:eastAsia="Calibri" w:hAnsi="Times New Roman" w:cs="Times New Roman"/>
          <w:sz w:val="20"/>
          <w:szCs w:val="20"/>
        </w:rPr>
      </w:pPr>
      <w:r>
        <w:rPr>
          <w:rFonts w:ascii="Calibri" w:eastAsia="Calibri" w:hAnsi="Calibri" w:cs="Arial"/>
        </w:rPr>
        <w:t>Content of sidelink CSI information shall be further studied. Some example information is listed in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085B" w:rsidRPr="0028085B" w:rsidTr="00636142">
        <w:tc>
          <w:tcPr>
            <w:tcW w:w="9629" w:type="dxa"/>
            <w:shd w:val="clear" w:color="auto" w:fill="auto"/>
          </w:tcPr>
          <w:p w:rsidR="0028085B" w:rsidRPr="0028085B" w:rsidRDefault="0028085B" w:rsidP="00636142">
            <w:pPr>
              <w:rPr>
                <w:rFonts w:ascii="Times New Roman" w:hAnsi="Times New Roman" w:cs="Times New Roman"/>
                <w:b/>
                <w:sz w:val="20"/>
                <w:szCs w:val="20"/>
              </w:rPr>
            </w:pPr>
            <w:r w:rsidRPr="0028085B">
              <w:rPr>
                <w:rFonts w:ascii="Times New Roman" w:hAnsi="Times New Roman" w:cs="Times New Roman"/>
                <w:b/>
                <w:sz w:val="20"/>
                <w:szCs w:val="20"/>
                <w:highlight w:val="green"/>
              </w:rPr>
              <w:t>Agreement:</w:t>
            </w:r>
          </w:p>
          <w:p w:rsidR="0028085B" w:rsidRPr="0028085B" w:rsidRDefault="0028085B" w:rsidP="0028085B">
            <w:pPr>
              <w:pStyle w:val="LGTdoc"/>
              <w:numPr>
                <w:ilvl w:val="0"/>
                <w:numId w:val="22"/>
              </w:numPr>
              <w:autoSpaceDE w:val="0"/>
              <w:autoSpaceDN w:val="0"/>
              <w:adjustRightInd w:val="0"/>
              <w:spacing w:before="100" w:beforeAutospacing="1" w:after="120" w:afterAutospacing="1"/>
              <w:rPr>
                <w:rFonts w:ascii="Times New Roman" w:hAnsi="Times New Roman" w:cs="Times New Roman"/>
                <w:sz w:val="20"/>
                <w:szCs w:val="20"/>
              </w:rPr>
            </w:pPr>
            <w:r w:rsidRPr="0028085B">
              <w:rPr>
                <w:rFonts w:ascii="Times New Roman" w:hAnsi="Times New Roman" w:cs="Times New Roman"/>
                <w:sz w:val="20"/>
                <w:szCs w:val="20"/>
              </w:rPr>
              <w:t>In the context of sidelink CSI, RAN1 to study further which of the following information is useful in sidelink operation when it is available at the transmitter.</w:t>
            </w:r>
          </w:p>
          <w:p w:rsidR="0028085B" w:rsidRPr="0028085B" w:rsidRDefault="0028085B" w:rsidP="0028085B">
            <w:pPr>
              <w:pStyle w:val="LGTdoc"/>
              <w:numPr>
                <w:ilvl w:val="1"/>
                <w:numId w:val="22"/>
              </w:numPr>
              <w:autoSpaceDE w:val="0"/>
              <w:autoSpaceDN w:val="0"/>
              <w:adjustRightInd w:val="0"/>
              <w:spacing w:before="100" w:beforeAutospacing="1" w:after="120" w:afterAutospacing="1"/>
              <w:rPr>
                <w:rFonts w:ascii="Times New Roman" w:hAnsi="Times New Roman" w:cs="Times New Roman"/>
                <w:sz w:val="20"/>
                <w:szCs w:val="20"/>
              </w:rPr>
            </w:pPr>
            <w:r w:rsidRPr="0028085B">
              <w:rPr>
                <w:rFonts w:ascii="Times New Roman" w:hAnsi="Times New Roman" w:cs="Times New Roman"/>
                <w:sz w:val="20"/>
                <w:szCs w:val="20"/>
              </w:rPr>
              <w:t>Information representing the channel between the transmitter and receiver</w:t>
            </w:r>
          </w:p>
          <w:p w:rsidR="0028085B" w:rsidRPr="0028085B" w:rsidRDefault="0028085B" w:rsidP="0028085B">
            <w:pPr>
              <w:pStyle w:val="LGTdoc"/>
              <w:numPr>
                <w:ilvl w:val="1"/>
                <w:numId w:val="22"/>
              </w:numPr>
              <w:autoSpaceDE w:val="0"/>
              <w:autoSpaceDN w:val="0"/>
              <w:adjustRightInd w:val="0"/>
              <w:spacing w:before="100" w:beforeAutospacing="1" w:after="120" w:afterAutospacing="1"/>
              <w:rPr>
                <w:rFonts w:ascii="Times New Roman" w:hAnsi="Times New Roman" w:cs="Times New Roman"/>
                <w:sz w:val="20"/>
                <w:szCs w:val="20"/>
              </w:rPr>
            </w:pPr>
            <w:r w:rsidRPr="0028085B">
              <w:rPr>
                <w:rFonts w:ascii="Times New Roman" w:hAnsi="Times New Roman" w:cs="Times New Roman"/>
                <w:sz w:val="20"/>
                <w:szCs w:val="20"/>
              </w:rPr>
              <w:t>Information representing the interference at receiver</w:t>
            </w:r>
          </w:p>
          <w:p w:rsidR="0028085B" w:rsidRPr="0028085B" w:rsidRDefault="0028085B" w:rsidP="0028085B">
            <w:pPr>
              <w:pStyle w:val="LGTdoc"/>
              <w:numPr>
                <w:ilvl w:val="1"/>
                <w:numId w:val="22"/>
              </w:numPr>
              <w:autoSpaceDE w:val="0"/>
              <w:autoSpaceDN w:val="0"/>
              <w:adjustRightInd w:val="0"/>
              <w:spacing w:before="100" w:beforeAutospacing="1" w:after="120" w:afterAutospacing="1"/>
              <w:rPr>
                <w:rFonts w:ascii="Times New Roman" w:hAnsi="Times New Roman" w:cs="Times New Roman"/>
                <w:sz w:val="20"/>
                <w:szCs w:val="20"/>
              </w:rPr>
            </w:pPr>
            <w:r w:rsidRPr="0028085B">
              <w:rPr>
                <w:rFonts w:ascii="Times New Roman" w:hAnsi="Times New Roman" w:cs="Times New Roman"/>
                <w:sz w:val="20"/>
                <w:szCs w:val="20"/>
              </w:rPr>
              <w:t>Examples for this information are</w:t>
            </w:r>
          </w:p>
          <w:p w:rsidR="0028085B" w:rsidRPr="0028085B" w:rsidRDefault="0028085B" w:rsidP="0028085B">
            <w:pPr>
              <w:pStyle w:val="LGTdoc"/>
              <w:numPr>
                <w:ilvl w:val="2"/>
                <w:numId w:val="22"/>
              </w:numPr>
              <w:autoSpaceDE w:val="0"/>
              <w:autoSpaceDN w:val="0"/>
              <w:adjustRightInd w:val="0"/>
              <w:spacing w:before="100" w:beforeAutospacing="1" w:after="120" w:afterAutospacing="1"/>
              <w:rPr>
                <w:rFonts w:ascii="Times New Roman" w:hAnsi="Times New Roman" w:cs="Times New Roman"/>
                <w:sz w:val="20"/>
                <w:szCs w:val="20"/>
              </w:rPr>
            </w:pPr>
            <w:r w:rsidRPr="0028085B">
              <w:rPr>
                <w:rFonts w:ascii="Times New Roman" w:hAnsi="Times New Roman" w:cs="Times New Roman"/>
                <w:sz w:val="20"/>
                <w:szCs w:val="20"/>
              </w:rPr>
              <w:t xml:space="preserve">CQI, PMI, RI, RSRP, RSRQ, pathgain/pathloss, SRI, CRI, interference condition, vehicle </w:t>
            </w:r>
            <w:r w:rsidRPr="0028085B">
              <w:rPr>
                <w:rFonts w:ascii="Times New Roman" w:hAnsi="Times New Roman" w:cs="Times New Roman"/>
                <w:sz w:val="20"/>
                <w:szCs w:val="20"/>
              </w:rPr>
              <w:lastRenderedPageBreak/>
              <w:t>motion</w:t>
            </w:r>
          </w:p>
          <w:p w:rsidR="0028085B" w:rsidRPr="0028085B" w:rsidRDefault="0028085B" w:rsidP="0028085B">
            <w:pPr>
              <w:pStyle w:val="LGTdoc"/>
              <w:numPr>
                <w:ilvl w:val="1"/>
                <w:numId w:val="22"/>
              </w:numPr>
              <w:autoSpaceDE w:val="0"/>
              <w:autoSpaceDN w:val="0"/>
              <w:adjustRightInd w:val="0"/>
              <w:spacing w:before="100" w:beforeAutospacing="1" w:after="120" w:afterAutospacing="1"/>
              <w:rPr>
                <w:rFonts w:ascii="Times New Roman" w:hAnsi="Times New Roman" w:cs="Times New Roman"/>
                <w:sz w:val="20"/>
                <w:szCs w:val="20"/>
              </w:rPr>
            </w:pPr>
            <w:r w:rsidRPr="0028085B">
              <w:rPr>
                <w:rFonts w:ascii="Times New Roman" w:hAnsi="Times New Roman" w:cs="Times New Roman"/>
                <w:sz w:val="20"/>
                <w:szCs w:val="20"/>
              </w:rPr>
              <w:t>FFS including</w:t>
            </w:r>
          </w:p>
          <w:p w:rsidR="0028085B" w:rsidRPr="0028085B" w:rsidRDefault="0028085B" w:rsidP="0028085B">
            <w:pPr>
              <w:pStyle w:val="LGTdoc"/>
              <w:numPr>
                <w:ilvl w:val="2"/>
                <w:numId w:val="22"/>
              </w:numPr>
              <w:autoSpaceDE w:val="0"/>
              <w:autoSpaceDN w:val="0"/>
              <w:adjustRightInd w:val="0"/>
              <w:spacing w:before="100" w:beforeAutospacing="1" w:after="120" w:afterAutospacing="1"/>
              <w:rPr>
                <w:rFonts w:ascii="Times New Roman" w:hAnsi="Times New Roman" w:cs="Times New Roman"/>
                <w:sz w:val="20"/>
                <w:szCs w:val="20"/>
              </w:rPr>
            </w:pPr>
            <w:r w:rsidRPr="0028085B">
              <w:rPr>
                <w:rFonts w:ascii="Times New Roman" w:hAnsi="Times New Roman" w:cs="Times New Roman"/>
                <w:sz w:val="20"/>
                <w:szCs w:val="20"/>
              </w:rPr>
              <w:t>Such information can be acquired using reciprocity or feedback</w:t>
            </w:r>
          </w:p>
          <w:p w:rsidR="0028085B" w:rsidRPr="0028085B" w:rsidRDefault="0028085B" w:rsidP="0028085B">
            <w:pPr>
              <w:pStyle w:val="LGTdoc"/>
              <w:numPr>
                <w:ilvl w:val="2"/>
                <w:numId w:val="22"/>
              </w:numPr>
              <w:autoSpaceDE w:val="0"/>
              <w:autoSpaceDN w:val="0"/>
              <w:adjustRightInd w:val="0"/>
              <w:spacing w:before="100" w:beforeAutospacing="1" w:after="120" w:afterAutospacing="1"/>
              <w:rPr>
                <w:rFonts w:ascii="Times New Roman" w:hAnsi="Times New Roman" w:cs="Times New Roman"/>
                <w:sz w:val="20"/>
                <w:szCs w:val="20"/>
              </w:rPr>
            </w:pPr>
            <w:r w:rsidRPr="0028085B">
              <w:rPr>
                <w:rFonts w:ascii="Times New Roman" w:hAnsi="Times New Roman" w:cs="Times New Roman"/>
                <w:sz w:val="20"/>
                <w:szCs w:val="20"/>
              </w:rPr>
              <w:t>Time scale of the information</w:t>
            </w:r>
          </w:p>
          <w:p w:rsidR="0028085B" w:rsidRPr="0028085B" w:rsidRDefault="0028085B" w:rsidP="0028085B">
            <w:pPr>
              <w:pStyle w:val="LGTdoc"/>
              <w:numPr>
                <w:ilvl w:val="2"/>
                <w:numId w:val="22"/>
              </w:numPr>
              <w:autoSpaceDE w:val="0"/>
              <w:autoSpaceDN w:val="0"/>
              <w:adjustRightInd w:val="0"/>
              <w:spacing w:before="100" w:beforeAutospacing="1" w:after="120" w:afterAutospacing="1"/>
              <w:rPr>
                <w:rFonts w:ascii="Times New Roman" w:hAnsi="Times New Roman" w:cs="Times New Roman"/>
                <w:sz w:val="20"/>
                <w:szCs w:val="20"/>
              </w:rPr>
            </w:pPr>
            <w:r w:rsidRPr="0028085B">
              <w:rPr>
                <w:rFonts w:ascii="Times New Roman" w:hAnsi="Times New Roman" w:cs="Times New Roman"/>
                <w:sz w:val="20"/>
                <w:szCs w:val="20"/>
              </w:rPr>
              <w:t>Which information is useful in which operation and scenario</w:t>
            </w:r>
          </w:p>
          <w:p w:rsidR="0028085B" w:rsidRPr="0028085B" w:rsidRDefault="0028085B" w:rsidP="00636142">
            <w:pPr>
              <w:spacing w:after="0" w:line="240" w:lineRule="auto"/>
              <w:rPr>
                <w:rFonts w:ascii="Times New Roman" w:hAnsi="Times New Roman" w:cs="Times New Roman"/>
                <w:sz w:val="20"/>
                <w:szCs w:val="20"/>
              </w:rPr>
            </w:pPr>
          </w:p>
        </w:tc>
      </w:tr>
    </w:tbl>
    <w:p w:rsidR="0028085B" w:rsidRPr="0028085B" w:rsidRDefault="0028085B" w:rsidP="0028085B">
      <w:pPr>
        <w:rPr>
          <w:rFonts w:ascii="Times New Roman" w:eastAsia="Calibri" w:hAnsi="Times New Roman" w:cs="Times New Roman"/>
          <w:sz w:val="20"/>
          <w:szCs w:val="20"/>
        </w:rPr>
      </w:pPr>
    </w:p>
    <w:p w:rsidR="0028085B" w:rsidRPr="0028085B" w:rsidRDefault="00573CA2" w:rsidP="0028085B">
      <w:pPr>
        <w:rPr>
          <w:rFonts w:ascii="Times New Roman" w:eastAsia="Calibri" w:hAnsi="Times New Roman" w:cs="Times New Roman"/>
          <w:sz w:val="20"/>
          <w:szCs w:val="20"/>
        </w:rPr>
      </w:pPr>
      <w:r>
        <w:rPr>
          <w:rFonts w:ascii="Calibri" w:eastAsia="Calibri" w:hAnsi="Calibri" w:cs="Arial"/>
        </w:rPr>
        <w:t>SCI and SFCI are defined to support sidelink operation in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085B" w:rsidRPr="0028085B" w:rsidTr="00636142">
        <w:tc>
          <w:tcPr>
            <w:tcW w:w="9629" w:type="dxa"/>
            <w:shd w:val="clear" w:color="auto" w:fill="auto"/>
          </w:tcPr>
          <w:p w:rsidR="0028085B" w:rsidRPr="0028085B" w:rsidRDefault="0028085B" w:rsidP="00636142">
            <w:pPr>
              <w:rPr>
                <w:rFonts w:ascii="Times New Roman" w:hAnsi="Times New Roman" w:cs="Times New Roman"/>
                <w:b/>
                <w:sz w:val="20"/>
                <w:szCs w:val="20"/>
              </w:rPr>
            </w:pPr>
            <w:r w:rsidRPr="0028085B">
              <w:rPr>
                <w:rFonts w:ascii="Times New Roman" w:hAnsi="Times New Roman" w:cs="Times New Roman"/>
                <w:b/>
                <w:sz w:val="20"/>
                <w:szCs w:val="20"/>
                <w:highlight w:val="green"/>
              </w:rPr>
              <w:t>Agreement:</w:t>
            </w:r>
          </w:p>
          <w:p w:rsidR="0028085B" w:rsidRPr="0028085B" w:rsidRDefault="0028085B" w:rsidP="0028085B">
            <w:pPr>
              <w:pStyle w:val="bullet1"/>
              <w:rPr>
                <w:rFonts w:ascii="Times New Roman" w:hAnsi="Times New Roman"/>
                <w:szCs w:val="20"/>
                <w:lang w:eastAsia="ko-KR"/>
              </w:rPr>
            </w:pPr>
            <w:r w:rsidRPr="0028085B">
              <w:rPr>
                <w:rFonts w:ascii="Times New Roman" w:hAnsi="Times New Roman"/>
                <w:szCs w:val="20"/>
                <w:lang w:eastAsia="ko-KR"/>
              </w:rPr>
              <w:t>Sidelink control information (SCI) is defined.</w:t>
            </w:r>
          </w:p>
          <w:p w:rsidR="0028085B" w:rsidRPr="0028085B" w:rsidRDefault="0028085B" w:rsidP="0028085B">
            <w:pPr>
              <w:pStyle w:val="bullet2"/>
              <w:rPr>
                <w:rFonts w:ascii="Times New Roman" w:hAnsi="Times New Roman"/>
                <w:szCs w:val="20"/>
                <w:lang w:eastAsia="ko-KR"/>
              </w:rPr>
            </w:pPr>
            <w:r w:rsidRPr="0028085B">
              <w:rPr>
                <w:rFonts w:ascii="Times New Roman" w:hAnsi="Times New Roman"/>
                <w:szCs w:val="20"/>
                <w:lang w:eastAsia="ko-KR"/>
              </w:rPr>
              <w:t>SCI is transmitted in PSCCH.</w:t>
            </w:r>
          </w:p>
          <w:p w:rsidR="0028085B" w:rsidRPr="0028085B" w:rsidRDefault="0028085B" w:rsidP="0028085B">
            <w:pPr>
              <w:pStyle w:val="bullet2"/>
              <w:rPr>
                <w:rFonts w:ascii="Times New Roman" w:hAnsi="Times New Roman"/>
                <w:szCs w:val="20"/>
                <w:lang w:eastAsia="ko-KR"/>
              </w:rPr>
            </w:pPr>
            <w:r w:rsidRPr="0028085B">
              <w:rPr>
                <w:rFonts w:ascii="Times New Roman" w:hAnsi="Times New Roman"/>
                <w:szCs w:val="20"/>
                <w:lang w:eastAsia="ko-KR"/>
              </w:rPr>
              <w:t>SCI includes at least one SCI format which includes the information necessary to decode the corresponding PSSCH.</w:t>
            </w:r>
          </w:p>
          <w:p w:rsidR="0028085B" w:rsidRPr="0028085B" w:rsidRDefault="0028085B" w:rsidP="0028085B">
            <w:pPr>
              <w:pStyle w:val="bullet3"/>
              <w:rPr>
                <w:rFonts w:ascii="Times New Roman" w:hAnsi="Times New Roman"/>
                <w:szCs w:val="20"/>
                <w:lang w:eastAsia="ko-KR"/>
              </w:rPr>
            </w:pPr>
            <w:r w:rsidRPr="0028085B">
              <w:rPr>
                <w:rFonts w:ascii="Times New Roman" w:hAnsi="Times New Roman"/>
                <w:szCs w:val="20"/>
                <w:lang w:eastAsia="ko-KR"/>
              </w:rPr>
              <w:t>NDI, if defined, is a part of SCI.</w:t>
            </w:r>
          </w:p>
          <w:p w:rsidR="0028085B" w:rsidRPr="0028085B" w:rsidRDefault="0028085B" w:rsidP="0028085B">
            <w:pPr>
              <w:pStyle w:val="bullet1"/>
              <w:rPr>
                <w:rFonts w:ascii="Times New Roman" w:hAnsi="Times New Roman"/>
                <w:szCs w:val="20"/>
                <w:lang w:eastAsia="ko-KR"/>
              </w:rPr>
            </w:pPr>
            <w:r w:rsidRPr="0028085B">
              <w:rPr>
                <w:rFonts w:ascii="Times New Roman" w:hAnsi="Times New Roman"/>
                <w:szCs w:val="20"/>
                <w:lang w:eastAsia="ko-KR"/>
              </w:rPr>
              <w:t>Sidelink feedback control information (SFCI) is defined.</w:t>
            </w:r>
          </w:p>
          <w:p w:rsidR="0028085B" w:rsidRPr="0028085B" w:rsidRDefault="0028085B" w:rsidP="0028085B">
            <w:pPr>
              <w:pStyle w:val="bullet2"/>
              <w:rPr>
                <w:rFonts w:ascii="Times New Roman" w:hAnsi="Times New Roman"/>
                <w:szCs w:val="20"/>
                <w:lang w:eastAsia="ko-KR"/>
              </w:rPr>
            </w:pPr>
            <w:r w:rsidRPr="0028085B">
              <w:rPr>
                <w:rFonts w:ascii="Times New Roman" w:hAnsi="Times New Roman"/>
                <w:szCs w:val="20"/>
                <w:lang w:eastAsia="ko-KR"/>
              </w:rPr>
              <w:t>SFCI includes at least one SFCI format which includes HARQ-ACK for the corresponding PSSCH.</w:t>
            </w:r>
          </w:p>
          <w:p w:rsidR="0028085B" w:rsidRPr="0028085B" w:rsidRDefault="0028085B" w:rsidP="0028085B">
            <w:pPr>
              <w:pStyle w:val="bullet3"/>
              <w:rPr>
                <w:rFonts w:ascii="Times New Roman" w:hAnsi="Times New Roman"/>
                <w:szCs w:val="20"/>
                <w:lang w:eastAsia="ko-KR"/>
              </w:rPr>
            </w:pPr>
            <w:r w:rsidRPr="0028085B">
              <w:rPr>
                <w:rFonts w:ascii="Times New Roman" w:hAnsi="Times New Roman"/>
                <w:szCs w:val="20"/>
                <w:lang w:eastAsia="ko-KR"/>
              </w:rPr>
              <w:t>FFS whether a solution will use only one of “ACK,” “NACK,” “DTX,” or use a combination of them.</w:t>
            </w:r>
          </w:p>
          <w:p w:rsidR="0028085B" w:rsidRPr="0028085B" w:rsidRDefault="0028085B" w:rsidP="0028085B">
            <w:pPr>
              <w:pStyle w:val="bullet2"/>
              <w:rPr>
                <w:rFonts w:ascii="Times New Roman" w:hAnsi="Times New Roman"/>
                <w:szCs w:val="20"/>
                <w:lang w:eastAsia="ko-KR"/>
              </w:rPr>
            </w:pPr>
            <w:r w:rsidRPr="0028085B">
              <w:rPr>
                <w:rFonts w:ascii="Times New Roman" w:hAnsi="Times New Roman"/>
                <w:szCs w:val="20"/>
                <w:lang w:eastAsia="ko-KR"/>
              </w:rPr>
              <w:t>FFS how to include other feedback information (if supported) in SFCI.</w:t>
            </w:r>
          </w:p>
          <w:p w:rsidR="0028085B" w:rsidRPr="0028085B" w:rsidRDefault="0028085B" w:rsidP="0028085B">
            <w:pPr>
              <w:pStyle w:val="bullet2"/>
              <w:rPr>
                <w:rFonts w:ascii="Times New Roman" w:hAnsi="Times New Roman"/>
                <w:szCs w:val="20"/>
                <w:lang w:eastAsia="ko-KR"/>
              </w:rPr>
            </w:pPr>
            <w:r w:rsidRPr="0028085B">
              <w:rPr>
                <w:rFonts w:ascii="Times New Roman" w:hAnsi="Times New Roman"/>
                <w:szCs w:val="20"/>
                <w:lang w:eastAsia="ko-KR"/>
              </w:rPr>
              <w:t>FFS how to convey SFCI on sidelink in PSCCH, and/or PSSCH, and/or a new physical sidelink channel</w:t>
            </w:r>
          </w:p>
          <w:p w:rsidR="0028085B" w:rsidRPr="0028085B" w:rsidRDefault="0028085B" w:rsidP="0028085B">
            <w:pPr>
              <w:pStyle w:val="bullet1"/>
              <w:rPr>
                <w:rFonts w:ascii="Times New Roman" w:hAnsi="Times New Roman"/>
                <w:szCs w:val="20"/>
                <w:lang w:eastAsia="ko-KR"/>
              </w:rPr>
            </w:pPr>
            <w:r w:rsidRPr="0028085B">
              <w:rPr>
                <w:rFonts w:ascii="Times New Roman" w:hAnsi="Times New Roman"/>
                <w:szCs w:val="20"/>
                <w:lang w:eastAsia="ko-KR"/>
              </w:rPr>
              <w:t>FFS in the context of Mode 1:</w:t>
            </w:r>
          </w:p>
          <w:p w:rsidR="0028085B" w:rsidRPr="0028085B" w:rsidRDefault="0028085B" w:rsidP="0028085B">
            <w:pPr>
              <w:pStyle w:val="bullet2"/>
              <w:rPr>
                <w:rFonts w:ascii="Times New Roman" w:hAnsi="Times New Roman"/>
                <w:szCs w:val="20"/>
                <w:lang w:eastAsia="ko-KR"/>
              </w:rPr>
            </w:pPr>
            <w:r w:rsidRPr="0028085B">
              <w:rPr>
                <w:rFonts w:ascii="Times New Roman" w:hAnsi="Times New Roman"/>
                <w:szCs w:val="20"/>
                <w:lang w:eastAsia="ko-KR"/>
              </w:rPr>
              <w:t>whether/how to convey information for SCI on downlink</w:t>
            </w:r>
          </w:p>
          <w:p w:rsidR="0028085B" w:rsidRPr="0028085B" w:rsidRDefault="0028085B" w:rsidP="0028085B">
            <w:pPr>
              <w:pStyle w:val="bullet2"/>
              <w:rPr>
                <w:rFonts w:ascii="Times New Roman" w:hAnsi="Times New Roman"/>
                <w:szCs w:val="20"/>
                <w:lang w:eastAsia="ko-KR"/>
              </w:rPr>
            </w:pPr>
            <w:r w:rsidRPr="0028085B">
              <w:rPr>
                <w:rFonts w:ascii="Times New Roman" w:hAnsi="Times New Roman"/>
                <w:szCs w:val="20"/>
                <w:lang w:eastAsia="ko-KR"/>
              </w:rPr>
              <w:t>whether/how to convey information of SFCI on uplink</w:t>
            </w:r>
          </w:p>
          <w:p w:rsidR="0028085B" w:rsidRPr="0028085B" w:rsidRDefault="0028085B" w:rsidP="00636142">
            <w:pPr>
              <w:spacing w:after="0" w:line="240" w:lineRule="auto"/>
              <w:rPr>
                <w:rFonts w:ascii="Times New Roman" w:hAnsi="Times New Roman" w:cs="Times New Roman"/>
                <w:sz w:val="20"/>
                <w:szCs w:val="20"/>
              </w:rPr>
            </w:pPr>
          </w:p>
        </w:tc>
      </w:tr>
    </w:tbl>
    <w:p w:rsidR="00573CA2" w:rsidRPr="0028085B" w:rsidRDefault="00573CA2" w:rsidP="0028085B">
      <w:pPr>
        <w:rPr>
          <w:rFonts w:ascii="Times New Roman" w:eastAsia="Calibri" w:hAnsi="Times New Roman" w:cs="Times New Roman"/>
          <w:sz w:val="20"/>
          <w:szCs w:val="20"/>
        </w:rPr>
      </w:pPr>
    </w:p>
    <w:p w:rsidR="0028085B" w:rsidRPr="0028085B" w:rsidRDefault="00573CA2" w:rsidP="0028085B">
      <w:pPr>
        <w:rPr>
          <w:rFonts w:ascii="Times New Roman" w:eastAsia="Calibri" w:hAnsi="Times New Roman" w:cs="Times New Roman"/>
          <w:sz w:val="20"/>
          <w:szCs w:val="20"/>
        </w:rPr>
      </w:pPr>
      <w:r>
        <w:rPr>
          <w:rFonts w:ascii="Calibri" w:eastAsia="Calibri" w:hAnsi="Calibri" w:cs="Arial"/>
        </w:rPr>
        <w:t xml:space="preserve">This contribution provides further discussion regarding the details of HARQ operation and feedback. </w:t>
      </w:r>
    </w:p>
    <w:bookmarkEnd w:id="1"/>
    <w:p w:rsidR="00910515" w:rsidRPr="00313E18" w:rsidRDefault="00910515" w:rsidP="0058787A">
      <w:pPr>
        <w:spacing w:after="0"/>
        <w:rPr>
          <w:iCs/>
        </w:rPr>
      </w:pPr>
    </w:p>
    <w:p w:rsidR="00B40D00" w:rsidRDefault="00B40D00" w:rsidP="00635DE5">
      <w:pPr>
        <w:pStyle w:val="Heading1"/>
        <w:spacing w:after="120"/>
        <w:jc w:val="both"/>
        <w:rPr>
          <w:lang w:val="en-US" w:eastAsia="zh-CN"/>
        </w:rPr>
      </w:pPr>
      <w:r>
        <w:rPr>
          <w:lang w:val="en-US" w:eastAsia="zh-CN"/>
        </w:rPr>
        <w:t>Discussion on sidelink physical layer procedures</w:t>
      </w:r>
    </w:p>
    <w:p w:rsidR="00B40D00" w:rsidRPr="00B40D00" w:rsidRDefault="00B40D00" w:rsidP="00B40D00"/>
    <w:p w:rsidR="00F67C1F" w:rsidRDefault="00B40D00" w:rsidP="00FC58B1">
      <w:r>
        <w:rPr>
          <w:rFonts w:eastAsia="DengXian"/>
          <w:b/>
          <w:u w:val="single"/>
        </w:rPr>
        <w:t>Sidelink HARQ feedback and combination</w:t>
      </w:r>
    </w:p>
    <w:p w:rsidR="00B65CC2" w:rsidRPr="00B65CC2" w:rsidRDefault="00B65CC2" w:rsidP="00840BAC">
      <w:pPr>
        <w:jc w:val="both"/>
      </w:pPr>
      <w:r w:rsidRPr="00B65CC2">
        <w:t xml:space="preserve">The </w:t>
      </w:r>
      <w:r>
        <w:t xml:space="preserve">most </w:t>
      </w:r>
      <w:r w:rsidRPr="00B65CC2">
        <w:t xml:space="preserve">common V2X use cases, </w:t>
      </w:r>
      <w:r>
        <w:t xml:space="preserve">such as vehicle platooning, </w:t>
      </w:r>
      <w:r w:rsidRPr="00B65CC2">
        <w:t>as suggested in SA1, are related to groupcast or broadcast. For groupcast, t</w:t>
      </w:r>
      <w:r w:rsidR="00840BAC">
        <w:t>he UEs in the group need to be a</w:t>
      </w:r>
      <w:r w:rsidRPr="00B65CC2">
        <w:t xml:space="preserve">ware the presence of their </w:t>
      </w:r>
      <w:r>
        <w:t xml:space="preserve">group </w:t>
      </w:r>
      <w:r w:rsidRPr="00B65CC2">
        <w:t>peers before data transmission. The physical channels among these UEs in t</w:t>
      </w:r>
      <w:r>
        <w:t>he group usually have different quality which makes reliable group communication challenging.</w:t>
      </w:r>
      <w:r w:rsidRPr="00B65CC2">
        <w:t xml:space="preserve"> </w:t>
      </w:r>
    </w:p>
    <w:p w:rsidR="00B65CC2" w:rsidRPr="00B65CC2" w:rsidRDefault="00B65CC2" w:rsidP="00840BAC">
      <w:pPr>
        <w:jc w:val="both"/>
      </w:pPr>
      <w:r>
        <w:t>Re-trans</w:t>
      </w:r>
      <w:r w:rsidR="00EE0D13">
        <w:t xml:space="preserve">mission is a simple approach to boost transmission reliability at the expense of latency. </w:t>
      </w:r>
      <w:r w:rsidR="00840BAC">
        <w:t>It is agreed that HARQ feedback and HARQ combining will be supported for both unicast and groupcast sidelink.</w:t>
      </w:r>
      <w:r w:rsidRPr="00B65CC2">
        <w:t xml:space="preserve"> Different </w:t>
      </w:r>
      <w:r w:rsidR="00840BAC">
        <w:t>from</w:t>
      </w:r>
      <w:r w:rsidRPr="00B65CC2">
        <w:t xml:space="preserve"> unicast, the HARQ scheme of groupcast needs to receive all ACK information from more than one group members. Once the UE receives all ACK feedback information, it can determine its retransmission scheme to enable its reliable groupcast transmission.</w:t>
      </w:r>
    </w:p>
    <w:p w:rsidR="00B65CC2" w:rsidRPr="00B65CC2" w:rsidRDefault="00EE0D13" w:rsidP="00840BAC">
      <w:pPr>
        <w:jc w:val="both"/>
      </w:pPr>
      <w:r>
        <w:lastRenderedPageBreak/>
        <w:t xml:space="preserve">A simple criterion for groupcast HARQ is to </w:t>
      </w:r>
      <w:r w:rsidR="00B65CC2" w:rsidRPr="00B65CC2">
        <w:t xml:space="preserve">target the worst channel among all links in the group. This indicates that the </w:t>
      </w:r>
      <w:r>
        <w:t xml:space="preserve">source </w:t>
      </w:r>
      <w:r w:rsidR="00B65CC2" w:rsidRPr="00B65CC2">
        <w:t>UE will continue retransmitting until it receives all positive ACK from all its peers in the group. The poorest link quality in the group shall determine the latency and efficiency of the HARQ.</w:t>
      </w:r>
      <w:r>
        <w:t xml:space="preserve"> Of course, other retransmission criterion can also be applied. Alternative scheme is that the groupcast transmission is complete when </w:t>
      </w:r>
      <w:r w:rsidR="008B1D56">
        <w:t xml:space="preserve">ACK(s) are received from </w:t>
      </w:r>
      <w:r>
        <w:t>majority (not all) of</w:t>
      </w:r>
      <w:r w:rsidR="008B1D56">
        <w:t xml:space="preserve"> its group members</w:t>
      </w:r>
      <w:r>
        <w:t>.</w:t>
      </w:r>
    </w:p>
    <w:p w:rsidR="00B65CC2" w:rsidRPr="00B65CC2" w:rsidRDefault="00B65CC2" w:rsidP="00840BAC">
      <w:pPr>
        <w:jc w:val="both"/>
      </w:pPr>
      <w:r w:rsidRPr="00B65CC2">
        <w:t>Different from HARQ of unicast, the efficiency of groupcast HARQ will depend on the number of communication links in the group. Higher number of UEs in the group, which will have higher number of communication links, usually will result in lower efficiency for HARQ. It is desirable to have an efficient HARQ design to support groupcasting communication.</w:t>
      </w:r>
    </w:p>
    <w:p w:rsidR="00F65C9E" w:rsidRDefault="00F65C9E" w:rsidP="00F65C9E">
      <w:pPr>
        <w:jc w:val="both"/>
      </w:pPr>
      <w:r>
        <w:t>Unicast will support HARQ feedback. It would be natural to have a general HARQ procedure to support both unicast and groupcast, where the HARQ can be configured to support feedback from more than one UEs. We propose:</w:t>
      </w:r>
    </w:p>
    <w:p w:rsidR="00F65C9E" w:rsidRPr="00F65C9E" w:rsidRDefault="00F65C9E" w:rsidP="00F65C9E">
      <w:pPr>
        <w:jc w:val="both"/>
        <w:rPr>
          <w:b/>
        </w:rPr>
      </w:pPr>
      <w:r w:rsidRPr="00F65C9E">
        <w:rPr>
          <w:b/>
        </w:rPr>
        <w:t>Proposal 1: Design one general HARQ feedback procedure to support both sidelink unicast and groupcast.</w:t>
      </w:r>
    </w:p>
    <w:p w:rsidR="00AC5572" w:rsidRDefault="00AC5572" w:rsidP="00AC5572">
      <w:pPr>
        <w:jc w:val="both"/>
      </w:pPr>
      <w:r>
        <w:t xml:space="preserve">Multiple HARQ feedback schemes could be proposed to support groupcast. For example, the source UE can continue its retransmission until it receives all ACK(s) or majority of ACK(s). How to evaluate the performance of various HARQ schemes so that a specific design can be selected? Usually the maximum number of retransmission is preconfigured. The evaluation performance shall be depended on the HARQ resource usage rate at various SNR, where the resource usage rate is defined as the ratio between actually used resource and the allocated reTx resource. When the SNR is high, there will be a few retransmission, indicating a very low resource usage rate. The HARQ resource usage rate will be high at the lower SNR where close to maximum HARQ retransmission is needed. </w:t>
      </w:r>
    </w:p>
    <w:p w:rsidR="00AC5572" w:rsidRPr="00AC5572" w:rsidRDefault="00AC5572" w:rsidP="00AC5572">
      <w:pPr>
        <w:jc w:val="both"/>
        <w:rPr>
          <w:b/>
        </w:rPr>
      </w:pPr>
      <w:r w:rsidRPr="00AC5572">
        <w:rPr>
          <w:b/>
        </w:rPr>
        <w:t>Proposal 2: Using HARQ resource usage rate performance at various SNR to evaluate HARQ feedback performance for groupcast.</w:t>
      </w:r>
    </w:p>
    <w:p w:rsidR="00F65C9E" w:rsidRDefault="00205554" w:rsidP="00205554">
      <w:pPr>
        <w:jc w:val="both"/>
      </w:pPr>
      <w:r>
        <w:t xml:space="preserve">RAN1 has agreed to define SFCI (sidelink feedback control information) as the payload to contain HARQ feedback information. </w:t>
      </w:r>
      <w:r w:rsidR="004B09E0">
        <w:t>However, t</w:t>
      </w:r>
      <w:r>
        <w:t xml:space="preserve">he </w:t>
      </w:r>
      <w:r w:rsidR="004B09E0">
        <w:t xml:space="preserve">design of </w:t>
      </w:r>
      <w:r>
        <w:t>control channel (feedback channel) to hold SFCI is still open.</w:t>
      </w:r>
      <w:r w:rsidR="004B09E0">
        <w:t xml:space="preserve"> </w:t>
      </w:r>
      <w:r>
        <w:t xml:space="preserve">The timing of the feedback channel should be at a fixed delay slot from the transmit slot. This could be easier for the source UE to collect all feedback information from group members for groupcast. </w:t>
      </w:r>
    </w:p>
    <w:p w:rsidR="00205554" w:rsidRPr="004B09E0" w:rsidRDefault="004B09E0" w:rsidP="001562FD">
      <w:pPr>
        <w:rPr>
          <w:b/>
        </w:rPr>
      </w:pPr>
      <w:r w:rsidRPr="004B09E0">
        <w:rPr>
          <w:b/>
        </w:rPr>
        <w:t>Proposal 3: Support fixed timing delay feedback for unicast/groupcast HARQ.</w:t>
      </w:r>
    </w:p>
    <w:p w:rsidR="00B40D00" w:rsidRDefault="00B40D00" w:rsidP="001562FD"/>
    <w:p w:rsidR="00DA76E0" w:rsidRPr="00387178" w:rsidRDefault="00DA76E0" w:rsidP="00DA76E0">
      <w:pPr>
        <w:rPr>
          <w:rFonts w:eastAsia="DengXian"/>
          <w:b/>
          <w:u w:val="single"/>
        </w:rPr>
      </w:pPr>
      <w:r w:rsidRPr="00387178">
        <w:rPr>
          <w:rFonts w:eastAsia="DengXian"/>
          <w:b/>
          <w:u w:val="single"/>
        </w:rPr>
        <w:t>Power control and link adaptation</w:t>
      </w:r>
    </w:p>
    <w:p w:rsidR="00DA76E0" w:rsidRDefault="00DA76E0" w:rsidP="004B09E0">
      <w:pPr>
        <w:jc w:val="both"/>
        <w:rPr>
          <w:rFonts w:eastAsia="DengXian"/>
        </w:rPr>
      </w:pPr>
      <w:r w:rsidRPr="007C3D89">
        <w:rPr>
          <w:rFonts w:eastAsia="DengXian"/>
        </w:rPr>
        <w:t>G</w:t>
      </w:r>
      <w:r w:rsidRPr="007C3D89">
        <w:rPr>
          <w:rFonts w:eastAsia="DengXian" w:hint="eastAsia"/>
        </w:rPr>
        <w:t xml:space="preserve">roupcast </w:t>
      </w:r>
      <w:r>
        <w:rPr>
          <w:rFonts w:eastAsia="DengXian"/>
        </w:rPr>
        <w:t xml:space="preserve">(e.g. groupcast in a platoon) </w:t>
      </w:r>
      <w:r w:rsidRPr="007C3D89">
        <w:rPr>
          <w:rFonts w:eastAsia="DengXian"/>
        </w:rPr>
        <w:t xml:space="preserve">happens among UEs close to each other. Thus </w:t>
      </w:r>
      <w:r>
        <w:rPr>
          <w:rFonts w:eastAsia="DengXian"/>
        </w:rPr>
        <w:t xml:space="preserve">different from broadcast, </w:t>
      </w:r>
      <w:r w:rsidRPr="007C3D89">
        <w:rPr>
          <w:rFonts w:eastAsia="DengXian"/>
        </w:rPr>
        <w:t>t</w:t>
      </w:r>
      <w:r w:rsidRPr="000C5833">
        <w:rPr>
          <w:rFonts w:eastAsia="DengXian"/>
        </w:rPr>
        <w:t>ransmitting at maximum power will not be required</w:t>
      </w:r>
      <w:r>
        <w:rPr>
          <w:rFonts w:eastAsia="DengXian"/>
        </w:rPr>
        <w:t xml:space="preserve"> for groupcast</w:t>
      </w:r>
      <w:r w:rsidRPr="000C5833">
        <w:rPr>
          <w:rFonts w:eastAsia="DengXian"/>
        </w:rPr>
        <w:t>.</w:t>
      </w:r>
      <w:r>
        <w:rPr>
          <w:rFonts w:eastAsia="DengXian"/>
        </w:rPr>
        <w:t xml:space="preserve"> Power control is necessary which can reduce interference to vehicular UEs outside the group. Similarly, link adaptation is also necessary and beneficial if the transmitter</w:t>
      </w:r>
      <w:r w:rsidRPr="000C5833">
        <w:rPr>
          <w:rFonts w:eastAsia="DengXian"/>
        </w:rPr>
        <w:t xml:space="preserve"> can select the optimal modulation order and coding rate</w:t>
      </w:r>
      <w:r>
        <w:rPr>
          <w:rFonts w:eastAsia="DengXian"/>
        </w:rPr>
        <w:t xml:space="preserve"> (MCS)</w:t>
      </w:r>
      <w:r w:rsidRPr="000C5833">
        <w:rPr>
          <w:rFonts w:eastAsia="DengXian"/>
        </w:rPr>
        <w:t xml:space="preserve"> ba</w:t>
      </w:r>
      <w:r>
        <w:rPr>
          <w:rFonts w:eastAsia="DengXian"/>
        </w:rPr>
        <w:t>sed on the channel qualities</w:t>
      </w:r>
      <w:r w:rsidRPr="000C5833">
        <w:rPr>
          <w:rFonts w:eastAsia="DengXian"/>
        </w:rPr>
        <w:t xml:space="preserve"> </w:t>
      </w:r>
      <w:r>
        <w:rPr>
          <w:rFonts w:eastAsia="DengXian"/>
        </w:rPr>
        <w:t xml:space="preserve">(CQI) </w:t>
      </w:r>
      <w:r w:rsidRPr="000C5833">
        <w:rPr>
          <w:rFonts w:eastAsia="DengXian"/>
        </w:rPr>
        <w:t>t</w:t>
      </w:r>
      <w:r>
        <w:rPr>
          <w:rFonts w:eastAsia="DengXian"/>
        </w:rPr>
        <w:t xml:space="preserve">owards the intended receivers. </w:t>
      </w:r>
    </w:p>
    <w:p w:rsidR="00DA76E0" w:rsidRPr="007C3D89" w:rsidRDefault="00DA76E0" w:rsidP="004B09E0">
      <w:pPr>
        <w:jc w:val="both"/>
        <w:rPr>
          <w:rFonts w:eastAsia="DengXian"/>
        </w:rPr>
      </w:pPr>
      <w:r w:rsidRPr="000C5833">
        <w:rPr>
          <w:rFonts w:eastAsia="DengXian"/>
        </w:rPr>
        <w:t>Power control and link adaptation could in principle make use of channel reciprocity without explicit feedback; however, they could also benefit from feedback mechanisms.</w:t>
      </w:r>
      <w:r>
        <w:rPr>
          <w:rFonts w:eastAsia="DengXian"/>
        </w:rPr>
        <w:t xml:space="preserve"> For groupcast, not every receiver needs to feedback CQI. </w:t>
      </w:r>
      <w:r w:rsidRPr="000C5833">
        <w:rPr>
          <w:rFonts w:eastAsia="DengXian"/>
        </w:rPr>
        <w:t xml:space="preserve"> </w:t>
      </w:r>
      <w:r>
        <w:rPr>
          <w:rFonts w:eastAsia="DengXian"/>
        </w:rPr>
        <w:t xml:space="preserve">The transmitter can advise only the receiver (or a few receivers) with worst channel qualities to feedback CQIs, which will save resources for feedback. </w:t>
      </w:r>
    </w:p>
    <w:p w:rsidR="00DA76E0" w:rsidRPr="000C5833" w:rsidRDefault="00DA76E0" w:rsidP="004B09E0">
      <w:pPr>
        <w:jc w:val="both"/>
        <w:rPr>
          <w:rFonts w:eastAsia="DengXian"/>
          <w:b/>
          <w:bCs/>
        </w:rPr>
      </w:pPr>
      <w:r w:rsidRPr="00283C34">
        <w:rPr>
          <w:b/>
          <w:bCs/>
        </w:rPr>
        <w:lastRenderedPageBreak/>
        <w:t>Proposal</w:t>
      </w:r>
      <w:r w:rsidR="00EE70C4">
        <w:rPr>
          <w:b/>
          <w:bCs/>
        </w:rPr>
        <w:t xml:space="preserve"> 4</w:t>
      </w:r>
      <w:r w:rsidRPr="00283C34">
        <w:rPr>
          <w:b/>
          <w:bCs/>
        </w:rPr>
        <w:t xml:space="preserve">: </w:t>
      </w:r>
      <w:r>
        <w:rPr>
          <w:b/>
          <w:bCs/>
        </w:rPr>
        <w:t xml:space="preserve">For groupcast, consider that a transmitter advises the limited number of receivers with </w:t>
      </w:r>
      <w:r w:rsidRPr="000C5833">
        <w:rPr>
          <w:b/>
          <w:bCs/>
        </w:rPr>
        <w:t>worst channel qualities to</w:t>
      </w:r>
      <w:r>
        <w:rPr>
          <w:b/>
          <w:bCs/>
        </w:rPr>
        <w:t xml:space="preserve"> feedback CQIs for power control and link adaptation.  </w:t>
      </w:r>
    </w:p>
    <w:p w:rsidR="009B7304" w:rsidRDefault="009B7304" w:rsidP="00FC58B1"/>
    <w:p w:rsidR="0031329F" w:rsidRDefault="008D72CA" w:rsidP="00FC58B1">
      <w:pPr>
        <w:rPr>
          <w:b/>
          <w:u w:val="single"/>
        </w:rPr>
      </w:pPr>
      <w:r>
        <w:rPr>
          <w:b/>
          <w:u w:val="single"/>
        </w:rPr>
        <w:t>Transport of sidelink control information</w:t>
      </w:r>
      <w:r w:rsidR="0031329F">
        <w:rPr>
          <w:b/>
          <w:u w:val="single"/>
        </w:rPr>
        <w:t xml:space="preserve"> via Uu to gNB</w:t>
      </w:r>
    </w:p>
    <w:p w:rsidR="009752AB" w:rsidRDefault="0031329F" w:rsidP="004B09E0">
      <w:pPr>
        <w:jc w:val="both"/>
        <w:rPr>
          <w:rFonts w:eastAsia="DengXian"/>
        </w:rPr>
      </w:pPr>
      <w:r>
        <w:rPr>
          <w:rFonts w:eastAsia="DengXian"/>
        </w:rPr>
        <w:t xml:space="preserve">For some types of sidelink </w:t>
      </w:r>
      <w:r w:rsidR="009752AB">
        <w:rPr>
          <w:rFonts w:eastAsia="DengXian"/>
        </w:rPr>
        <w:t>control information</w:t>
      </w:r>
      <w:r>
        <w:rPr>
          <w:rFonts w:eastAsia="DengXian"/>
        </w:rPr>
        <w:t xml:space="preserve">, the information is relevant to the gNB; e.g. </w:t>
      </w:r>
      <w:r w:rsidR="009752AB">
        <w:rPr>
          <w:rFonts w:eastAsia="DengXian"/>
        </w:rPr>
        <w:t xml:space="preserve">let us consider the scenario where two UEs establish a sidelink unicast session, with both UEs </w:t>
      </w:r>
      <w:r>
        <w:rPr>
          <w:rFonts w:eastAsia="DengXian"/>
        </w:rPr>
        <w:t>in gNB-scheduled mode</w:t>
      </w:r>
      <w:r w:rsidR="009752AB">
        <w:rPr>
          <w:rFonts w:eastAsia="DengXian"/>
        </w:rPr>
        <w:t xml:space="preserve"> and served by one and the same gNB. </w:t>
      </w:r>
    </w:p>
    <w:p w:rsidR="009752AB" w:rsidRDefault="009752AB" w:rsidP="004B09E0">
      <w:pPr>
        <w:jc w:val="both"/>
        <w:rPr>
          <w:rFonts w:eastAsia="DengXian"/>
        </w:rPr>
      </w:pPr>
      <w:r>
        <w:rPr>
          <w:rFonts w:eastAsia="DengXian"/>
        </w:rPr>
        <w:t xml:space="preserve">At least in this scenario it could be beneficial if the UEs provide their </w:t>
      </w:r>
      <w:r w:rsidR="0031329F">
        <w:rPr>
          <w:rFonts w:eastAsia="DengXian"/>
        </w:rPr>
        <w:t xml:space="preserve">HARQ ACK/NAK feedback </w:t>
      </w:r>
      <w:r>
        <w:rPr>
          <w:rFonts w:eastAsia="DengXian"/>
        </w:rPr>
        <w:t>to the gNB via Uu</w:t>
      </w:r>
      <w:r w:rsidR="003F24B1">
        <w:rPr>
          <w:rFonts w:eastAsia="DengXian"/>
        </w:rPr>
        <w:t xml:space="preserve"> instead of directly to each other via the sidelink</w:t>
      </w:r>
      <w:r>
        <w:rPr>
          <w:rFonts w:eastAsia="DengXian"/>
        </w:rPr>
        <w:t xml:space="preserve">; the gNB then learns directly if it needs to schedule HARQ retransmissions. Moreover, since the UEs in this scenario do not need to exchange HARQ ACK/NAK feedback over the sidelink, they will not suffer the impact of half-duplex constraint that they would incur if they had to perform HARQ ACK/NAK transmission over sidelink. </w:t>
      </w:r>
    </w:p>
    <w:p w:rsidR="0031329F" w:rsidRDefault="009752AB" w:rsidP="004B09E0">
      <w:pPr>
        <w:jc w:val="both"/>
        <w:rPr>
          <w:rFonts w:eastAsia="DengXian"/>
        </w:rPr>
      </w:pPr>
      <w:r>
        <w:rPr>
          <w:rFonts w:eastAsia="DengXian"/>
        </w:rPr>
        <w:t>On the other hand, if one of the UEs is outside network coverage then it cannot convey i</w:t>
      </w:r>
      <w:r w:rsidR="005350B8">
        <w:rPr>
          <w:rFonts w:eastAsia="DengXian"/>
        </w:rPr>
        <w:t>ts feedback over Uu; and if the UEs</w:t>
      </w:r>
      <w:r>
        <w:rPr>
          <w:rFonts w:eastAsia="DengXian"/>
        </w:rPr>
        <w:t xml:space="preserve"> are served by different gNBs then transport of feedback over Uu will become more complex.</w:t>
      </w:r>
    </w:p>
    <w:p w:rsidR="009752AB" w:rsidRDefault="009752AB" w:rsidP="00FC58B1">
      <w:pPr>
        <w:rPr>
          <w:rFonts w:eastAsia="DengXian"/>
        </w:rPr>
      </w:pPr>
      <w:r w:rsidRPr="00283C34">
        <w:rPr>
          <w:b/>
          <w:bCs/>
        </w:rPr>
        <w:t>Proposal</w:t>
      </w:r>
      <w:r w:rsidR="00EE70C4">
        <w:rPr>
          <w:b/>
          <w:bCs/>
        </w:rPr>
        <w:t xml:space="preserve"> 5</w:t>
      </w:r>
      <w:r w:rsidRPr="00283C34">
        <w:rPr>
          <w:b/>
          <w:bCs/>
        </w:rPr>
        <w:t>:</w:t>
      </w:r>
      <w:r>
        <w:rPr>
          <w:b/>
          <w:bCs/>
        </w:rPr>
        <w:t xml:space="preserve"> Consider </w:t>
      </w:r>
      <w:r w:rsidR="00385B4F">
        <w:rPr>
          <w:b/>
          <w:bCs/>
        </w:rPr>
        <w:t>transport of sidelink control</w:t>
      </w:r>
      <w:r w:rsidR="00D329A6">
        <w:rPr>
          <w:b/>
          <w:bCs/>
        </w:rPr>
        <w:t>/feedback</w:t>
      </w:r>
      <w:r w:rsidR="00385B4F">
        <w:rPr>
          <w:b/>
          <w:bCs/>
        </w:rPr>
        <w:t xml:space="preserve"> information via Uu.</w:t>
      </w:r>
    </w:p>
    <w:p w:rsidR="0031329F" w:rsidRPr="00DA76E0" w:rsidRDefault="0031329F" w:rsidP="00FC58B1"/>
    <w:p w:rsidR="0033217F" w:rsidRPr="0033217F" w:rsidRDefault="0033217F" w:rsidP="0033217F">
      <w:pPr>
        <w:rPr>
          <w:rFonts w:eastAsia="DengXian"/>
          <w:b/>
          <w:u w:val="single"/>
        </w:rPr>
      </w:pPr>
      <w:r w:rsidRPr="0033217F">
        <w:rPr>
          <w:rFonts w:eastAsia="DengXian"/>
          <w:b/>
          <w:u w:val="single"/>
        </w:rPr>
        <w:t>U</w:t>
      </w:r>
      <w:r w:rsidRPr="0033217F">
        <w:rPr>
          <w:rFonts w:eastAsia="DengXian" w:hint="eastAsia"/>
          <w:b/>
          <w:u w:val="single"/>
        </w:rPr>
        <w:t xml:space="preserve">sage </w:t>
      </w:r>
      <w:r w:rsidRPr="0033217F">
        <w:rPr>
          <w:rFonts w:eastAsia="DengXian"/>
          <w:b/>
          <w:u w:val="single"/>
        </w:rPr>
        <w:t>of ID in physical layer</w:t>
      </w:r>
    </w:p>
    <w:p w:rsidR="0033217F" w:rsidRDefault="0033217F" w:rsidP="004B09E0">
      <w:pPr>
        <w:jc w:val="both"/>
        <w:rPr>
          <w:rFonts w:eastAsia="DengXian"/>
        </w:rPr>
      </w:pPr>
      <w:r>
        <w:rPr>
          <w:rFonts w:eastAsia="DengXian"/>
        </w:rPr>
        <w:t>There is</w:t>
      </w:r>
      <w:r w:rsidRPr="003769D4">
        <w:rPr>
          <w:rFonts w:eastAsia="DengXian"/>
        </w:rPr>
        <w:t xml:space="preserve"> some basic difference between the sidelink unicast/groupcast and the counterpart</w:t>
      </w:r>
      <w:r>
        <w:rPr>
          <w:rFonts w:eastAsia="DengXian"/>
        </w:rPr>
        <w:t>s</w:t>
      </w:r>
      <w:r w:rsidRPr="003769D4">
        <w:rPr>
          <w:rFonts w:eastAsia="DengXian"/>
        </w:rPr>
        <w:t xml:space="preserve"> in cellular Uu. The main difference is that in Uu unicast</w:t>
      </w:r>
      <w:r>
        <w:rPr>
          <w:rFonts w:eastAsia="DengXian"/>
        </w:rPr>
        <w:t>/groupcast</w:t>
      </w:r>
      <w:r w:rsidRPr="003769D4">
        <w:rPr>
          <w:rFonts w:eastAsia="DengXian"/>
        </w:rPr>
        <w:t>, the receiver can only decode the associated PDCCH that is targeted to it (</w:t>
      </w:r>
      <w:r>
        <w:rPr>
          <w:rFonts w:eastAsia="DengXian"/>
        </w:rPr>
        <w:t xml:space="preserve">i.e. by </w:t>
      </w:r>
      <w:r w:rsidRPr="003769D4">
        <w:rPr>
          <w:rFonts w:eastAsia="DengXian"/>
        </w:rPr>
        <w:t>match</w:t>
      </w:r>
      <w:r>
        <w:rPr>
          <w:rFonts w:eastAsia="DengXian"/>
        </w:rPr>
        <w:t>ing</w:t>
      </w:r>
      <w:r w:rsidRPr="003769D4">
        <w:rPr>
          <w:rFonts w:eastAsia="DengXian"/>
        </w:rPr>
        <w:t xml:space="preserve"> </w:t>
      </w:r>
      <w:r>
        <w:rPr>
          <w:rFonts w:eastAsia="DengXian"/>
        </w:rPr>
        <w:t xml:space="preserve">the CRC </w:t>
      </w:r>
      <w:r w:rsidRPr="003769D4">
        <w:rPr>
          <w:rFonts w:eastAsia="DengXian"/>
        </w:rPr>
        <w:t>with its own RNTI) and cannot decode other users' control channel. While in sidelink, due to the potential need for channel sensing, receiver</w:t>
      </w:r>
      <w:r>
        <w:rPr>
          <w:rFonts w:eastAsia="DengXian"/>
        </w:rPr>
        <w:t>s</w:t>
      </w:r>
      <w:r w:rsidRPr="003769D4">
        <w:rPr>
          <w:rFonts w:eastAsia="DengXian"/>
        </w:rPr>
        <w:t xml:space="preserve"> shall be capable to decode any PSCCH, irrespective of unicast, groupcast or broadcast</w:t>
      </w:r>
      <w:r>
        <w:rPr>
          <w:rFonts w:eastAsia="DengXian"/>
        </w:rPr>
        <w:t xml:space="preserve"> transmissions. To this end</w:t>
      </w:r>
      <w:r w:rsidRPr="003769D4">
        <w:rPr>
          <w:rFonts w:eastAsia="DengXian"/>
        </w:rPr>
        <w:t xml:space="preserve">, </w:t>
      </w:r>
      <w:r>
        <w:rPr>
          <w:rFonts w:eastAsia="DengXian"/>
        </w:rPr>
        <w:t xml:space="preserve">for </w:t>
      </w:r>
      <w:r w:rsidRPr="003769D4">
        <w:rPr>
          <w:rFonts w:eastAsia="DengXian"/>
        </w:rPr>
        <w:t>PSCCH</w:t>
      </w:r>
      <w:r>
        <w:rPr>
          <w:rFonts w:eastAsia="DengXian"/>
        </w:rPr>
        <w:t xml:space="preserve"> (at least the PSCCH format with resource allocation information if used) of unicast, groupcast or broadcast</w:t>
      </w:r>
      <w:r w:rsidRPr="003769D4">
        <w:rPr>
          <w:rFonts w:eastAsia="DengXian"/>
        </w:rPr>
        <w:t>, its DMRS sh</w:t>
      </w:r>
      <w:r>
        <w:rPr>
          <w:rFonts w:eastAsia="DengXian"/>
        </w:rPr>
        <w:t xml:space="preserve">all be well-known </w:t>
      </w:r>
      <w:r w:rsidRPr="003769D4">
        <w:rPr>
          <w:rFonts w:eastAsia="DengXian"/>
        </w:rPr>
        <w:t xml:space="preserve">e.g. randomly selected from predefined </w:t>
      </w:r>
      <w:r>
        <w:rPr>
          <w:rFonts w:eastAsia="DengXian"/>
        </w:rPr>
        <w:t>sequence set as done in LTE V2X</w:t>
      </w:r>
      <w:r w:rsidRPr="003769D4">
        <w:rPr>
          <w:rFonts w:eastAsia="DengXian"/>
        </w:rPr>
        <w:t xml:space="preserve"> and the destination ID (or part of it) could be included in the SCI message (as done in R12/13 D2D)</w:t>
      </w:r>
      <w:r>
        <w:rPr>
          <w:rFonts w:eastAsia="DengXian"/>
        </w:rPr>
        <w:t>. T</w:t>
      </w:r>
      <w:r w:rsidRPr="003769D4">
        <w:rPr>
          <w:rFonts w:eastAsia="DengXian"/>
        </w:rPr>
        <w:t xml:space="preserve">he DMRS of PSSCH </w:t>
      </w:r>
      <w:r>
        <w:rPr>
          <w:rFonts w:eastAsia="DengXian"/>
        </w:rPr>
        <w:t>could</w:t>
      </w:r>
      <w:r w:rsidRPr="003769D4">
        <w:rPr>
          <w:rFonts w:eastAsia="DengXian"/>
        </w:rPr>
        <w:t xml:space="preserve"> be determined by </w:t>
      </w:r>
      <w:r>
        <w:rPr>
          <w:rFonts w:eastAsia="DengXian"/>
        </w:rPr>
        <w:t xml:space="preserve">some </w:t>
      </w:r>
      <w:r w:rsidRPr="003769D4">
        <w:rPr>
          <w:rFonts w:eastAsia="DengXian"/>
        </w:rPr>
        <w:t>function of destination ID.</w:t>
      </w:r>
    </w:p>
    <w:p w:rsidR="0033217F" w:rsidRPr="00804CD1" w:rsidRDefault="0033217F" w:rsidP="004B09E0">
      <w:pPr>
        <w:jc w:val="both"/>
        <w:rPr>
          <w:rFonts w:eastAsia="DengXian"/>
        </w:rPr>
      </w:pPr>
      <w:r>
        <w:rPr>
          <w:rFonts w:eastAsia="DengXian"/>
        </w:rPr>
        <w:t xml:space="preserve">The partial inclusion of destination ID in the PSCCH may lead to ID collision issue at physical layer, though the probability of this ID collision may be quite small. The ID collision at physical layer seems not a very serious issue, since the probability that </w:t>
      </w:r>
      <w:r w:rsidR="004B09E0">
        <w:rPr>
          <w:rFonts w:eastAsia="DengXian"/>
        </w:rPr>
        <w:t>two-proximate</w:t>
      </w:r>
      <w:r>
        <w:rPr>
          <w:rFonts w:eastAsia="DengXian"/>
        </w:rPr>
        <w:t xml:space="preserve"> vehicle UEs casually have same physical layer ID and at the same time they select the same or overlapped resources (which may lead to serious collision interference) shall be sufficiently small. Additionally, i</w:t>
      </w:r>
      <w:r w:rsidRPr="00804CD1">
        <w:rPr>
          <w:rFonts w:eastAsia="DengXian"/>
        </w:rPr>
        <w:t>f there are collisions with the physical layer ID, MAC layer could treat this issue with knowledge of complete destination ID</w:t>
      </w:r>
      <w:r>
        <w:rPr>
          <w:rFonts w:eastAsia="DengXian"/>
        </w:rPr>
        <w:t xml:space="preserve"> by dropping the received packets that does not target to it (i.e. same PHY ID but different whole destination ID)</w:t>
      </w:r>
      <w:r w:rsidRPr="00804CD1">
        <w:rPr>
          <w:rFonts w:eastAsia="DengXian"/>
        </w:rPr>
        <w:t>.</w:t>
      </w:r>
    </w:p>
    <w:p w:rsidR="0037523A" w:rsidRDefault="0033217F" w:rsidP="004B09E0">
      <w:pPr>
        <w:jc w:val="both"/>
      </w:pPr>
      <w:r>
        <w:br/>
      </w:r>
      <w:r w:rsidRPr="00283C34">
        <w:rPr>
          <w:b/>
          <w:bCs/>
        </w:rPr>
        <w:t>Proposal</w:t>
      </w:r>
      <w:r w:rsidR="00EE70C4">
        <w:rPr>
          <w:b/>
          <w:bCs/>
        </w:rPr>
        <w:t xml:space="preserve"> 6</w:t>
      </w:r>
      <w:r w:rsidRPr="00283C34">
        <w:rPr>
          <w:b/>
          <w:bCs/>
        </w:rPr>
        <w:t xml:space="preserve">: </w:t>
      </w:r>
      <w:r>
        <w:rPr>
          <w:b/>
          <w:bCs/>
        </w:rPr>
        <w:t>The PSCCH of unicast/groupcast/broadcast shall be decodable for potential usage in sensing procedure. Destination ID could be partially included in sidelink control message to enable packet filtering at physical layer.</w:t>
      </w:r>
    </w:p>
    <w:p w:rsidR="009B7304" w:rsidRDefault="009B7304" w:rsidP="009B7304">
      <w:pPr>
        <w:rPr>
          <w:b/>
          <w:u w:val="single"/>
        </w:rPr>
      </w:pPr>
    </w:p>
    <w:p w:rsidR="009B7304" w:rsidRPr="009B7304" w:rsidRDefault="009B7304" w:rsidP="009B7304">
      <w:pPr>
        <w:rPr>
          <w:b/>
          <w:u w:val="single"/>
        </w:rPr>
      </w:pPr>
      <w:r w:rsidRPr="009B7304">
        <w:rPr>
          <w:b/>
          <w:u w:val="single"/>
        </w:rPr>
        <w:lastRenderedPageBreak/>
        <w:t>Multi-antenna transmission scheme</w:t>
      </w:r>
    </w:p>
    <w:p w:rsidR="009B7304" w:rsidRDefault="009B7304" w:rsidP="009B7304">
      <w:pPr>
        <w:jc w:val="both"/>
      </w:pPr>
      <w:r>
        <w:t>Some CSI feedback information to support MIMO operations was discussed in the last meeting. It is still open whether V2X sidelink supports open-loop and/or closed-loop MIMO, given that MIMO is very well defined in Rel-15 NR.</w:t>
      </w:r>
    </w:p>
    <w:p w:rsidR="009B7304" w:rsidRDefault="009B7304" w:rsidP="009B7304">
      <w:pPr>
        <w:jc w:val="both"/>
      </w:pPr>
      <w:r>
        <w:t xml:space="preserve">Open-loop MIMO schemes such as diversity-based schemes, such as STBC/SFBC, precoding cycling, delay diversity, could be applied at least for PSCCH channel to boost transmission reliability and coverage. </w:t>
      </w:r>
    </w:p>
    <w:p w:rsidR="009B7304" w:rsidRPr="009B7304" w:rsidRDefault="009B7304" w:rsidP="009B7304">
      <w:pPr>
        <w:jc w:val="both"/>
        <w:rPr>
          <w:b/>
        </w:rPr>
      </w:pPr>
      <w:r w:rsidRPr="009B7304">
        <w:rPr>
          <w:b/>
        </w:rPr>
        <w:t>Proposal 7: Study open-loop MIMO schemes at least for PSCCH.</w:t>
      </w:r>
    </w:p>
    <w:p w:rsidR="00ED1977" w:rsidRDefault="009B7304" w:rsidP="00A37ACC">
      <w:pPr>
        <w:jc w:val="both"/>
      </w:pPr>
      <w:r>
        <w:t xml:space="preserve">Closed-loop MIMO schemes, such as codebook based precoding schemes, </w:t>
      </w:r>
      <w:r w:rsidR="00A37ACC">
        <w:t>can provide significant precoding gain for sidelink transmission. These schemes can also mitigate undesirable interference to other UEs that not in their dominant spatial transmission direction. Since closed-loop MIMO needs feedback, it would be very complicated to support groupcast transmission but we can focus on unicast.</w:t>
      </w:r>
    </w:p>
    <w:p w:rsidR="00A37ACC" w:rsidRPr="00A37ACC" w:rsidRDefault="00A37ACC" w:rsidP="00A37ACC">
      <w:pPr>
        <w:jc w:val="both"/>
        <w:rPr>
          <w:b/>
        </w:rPr>
      </w:pPr>
      <w:r w:rsidRPr="00A37ACC">
        <w:rPr>
          <w:b/>
        </w:rPr>
        <w:t>Proposal 8: Study to support closed-loop MIMO transmission for unicast PSSCH.</w:t>
      </w:r>
    </w:p>
    <w:p w:rsidR="007A3EA4" w:rsidRPr="00FC58B1" w:rsidRDefault="007A3EA4" w:rsidP="00FC58B1"/>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pPr>
      <w:r w:rsidRPr="00A272F4">
        <w:t>In this contribution</w:t>
      </w:r>
      <w:r w:rsidR="00EE70C4">
        <w:t xml:space="preserve"> we</w:t>
      </w:r>
      <w:r w:rsidR="008E0F69">
        <w:t xml:space="preserve"> discussed </w:t>
      </w:r>
      <w:r w:rsidR="00A37ACC">
        <w:t>various physical layer procedures to support sidelink. These are our proposals:</w:t>
      </w:r>
    </w:p>
    <w:p w:rsidR="00A37ACC" w:rsidRPr="00F65C9E" w:rsidRDefault="00A37ACC" w:rsidP="00A37ACC">
      <w:pPr>
        <w:jc w:val="both"/>
        <w:rPr>
          <w:b/>
        </w:rPr>
      </w:pPr>
      <w:r w:rsidRPr="00F65C9E">
        <w:rPr>
          <w:b/>
        </w:rPr>
        <w:t>Proposal 1: Design one general HARQ feedback procedure to support both sidelink unicast and groupcast.</w:t>
      </w:r>
    </w:p>
    <w:p w:rsidR="00D329A6" w:rsidRDefault="00A37ACC" w:rsidP="00D329A6">
      <w:pPr>
        <w:rPr>
          <w:b/>
          <w:bCs/>
        </w:rPr>
      </w:pPr>
      <w:r w:rsidRPr="00AC5572">
        <w:rPr>
          <w:b/>
        </w:rPr>
        <w:t>Proposal 2: Using HARQ resource usage rate performance at various SNR to evaluate HARQ feedback performance for groupcast.</w:t>
      </w:r>
    </w:p>
    <w:p w:rsidR="00A37ACC" w:rsidRPr="004B09E0" w:rsidRDefault="00A37ACC" w:rsidP="00A37ACC">
      <w:pPr>
        <w:rPr>
          <w:b/>
        </w:rPr>
      </w:pPr>
      <w:r w:rsidRPr="004B09E0">
        <w:rPr>
          <w:b/>
        </w:rPr>
        <w:t>Proposal 3: Support fixed timing delay feedback for unicast/groupcast HARQ.</w:t>
      </w:r>
    </w:p>
    <w:p w:rsidR="00D329A6" w:rsidRPr="000C5833" w:rsidRDefault="00D329A6" w:rsidP="00D329A6">
      <w:pPr>
        <w:rPr>
          <w:rFonts w:eastAsia="DengXian"/>
          <w:b/>
          <w:bCs/>
        </w:rPr>
      </w:pPr>
      <w:r w:rsidRPr="00283C34">
        <w:rPr>
          <w:b/>
          <w:bCs/>
        </w:rPr>
        <w:t>Proposal</w:t>
      </w:r>
      <w:r>
        <w:rPr>
          <w:b/>
          <w:bCs/>
        </w:rPr>
        <w:t xml:space="preserve"> 4</w:t>
      </w:r>
      <w:r w:rsidRPr="00283C34">
        <w:rPr>
          <w:b/>
          <w:bCs/>
        </w:rPr>
        <w:t xml:space="preserve">: </w:t>
      </w:r>
      <w:r>
        <w:rPr>
          <w:b/>
          <w:bCs/>
        </w:rPr>
        <w:t xml:space="preserve">For groupcast, consider that a transmitter advises the limited number of receivers with </w:t>
      </w:r>
      <w:r w:rsidRPr="000C5833">
        <w:rPr>
          <w:b/>
          <w:bCs/>
        </w:rPr>
        <w:t>worst channel qualities to</w:t>
      </w:r>
      <w:r>
        <w:rPr>
          <w:b/>
          <w:bCs/>
        </w:rPr>
        <w:t xml:space="preserve"> feedback CQIs for power control and link adaptation.  </w:t>
      </w:r>
    </w:p>
    <w:p w:rsidR="00D329A6" w:rsidRDefault="00D329A6" w:rsidP="00D329A6">
      <w:pPr>
        <w:rPr>
          <w:rFonts w:eastAsia="DengXian"/>
        </w:rPr>
      </w:pPr>
      <w:r w:rsidRPr="00283C34">
        <w:rPr>
          <w:b/>
          <w:bCs/>
        </w:rPr>
        <w:t>Proposal</w:t>
      </w:r>
      <w:r>
        <w:rPr>
          <w:b/>
          <w:bCs/>
        </w:rPr>
        <w:t xml:space="preserve"> 5</w:t>
      </w:r>
      <w:r w:rsidRPr="00283C34">
        <w:rPr>
          <w:b/>
          <w:bCs/>
        </w:rPr>
        <w:t>:</w:t>
      </w:r>
      <w:r>
        <w:rPr>
          <w:b/>
          <w:bCs/>
        </w:rPr>
        <w:t xml:space="preserve"> Consider transport of sidelink control/feedback information via Uu.</w:t>
      </w:r>
    </w:p>
    <w:p w:rsidR="00D329A6" w:rsidRDefault="00D329A6" w:rsidP="00D329A6">
      <w:r w:rsidRPr="00283C34">
        <w:rPr>
          <w:b/>
          <w:bCs/>
        </w:rPr>
        <w:t>Proposal</w:t>
      </w:r>
      <w:r>
        <w:rPr>
          <w:b/>
          <w:bCs/>
        </w:rPr>
        <w:t xml:space="preserve"> 6</w:t>
      </w:r>
      <w:r w:rsidRPr="00283C34">
        <w:rPr>
          <w:b/>
          <w:bCs/>
        </w:rPr>
        <w:t xml:space="preserve">: </w:t>
      </w:r>
      <w:r>
        <w:rPr>
          <w:b/>
          <w:bCs/>
        </w:rPr>
        <w:t>The PSCCH of unicast/groupcast/broadcast shall be decodable for potential usage in sensing procedure. Destination ID could be partially included in sidelink control message to enable packet filtering at physical layer.</w:t>
      </w:r>
    </w:p>
    <w:p w:rsidR="00A37ACC" w:rsidRPr="009B7304" w:rsidRDefault="00A37ACC" w:rsidP="00A37ACC">
      <w:pPr>
        <w:jc w:val="both"/>
        <w:rPr>
          <w:b/>
        </w:rPr>
      </w:pPr>
      <w:r w:rsidRPr="009B7304">
        <w:rPr>
          <w:b/>
        </w:rPr>
        <w:t>Proposal 7: Study open-loop MIMO schemes at least for PSCCH.</w:t>
      </w:r>
    </w:p>
    <w:p w:rsidR="00A37ACC" w:rsidRPr="00A37ACC" w:rsidRDefault="00A37ACC" w:rsidP="00A37ACC">
      <w:pPr>
        <w:jc w:val="both"/>
        <w:rPr>
          <w:b/>
        </w:rPr>
      </w:pPr>
      <w:r w:rsidRPr="00A37ACC">
        <w:rPr>
          <w:b/>
        </w:rPr>
        <w:t>Proposal 8: Study to support closed-loop MIMO transmission for unicast PSSCH.</w:t>
      </w:r>
    </w:p>
    <w:p w:rsidR="000D2D9E" w:rsidRPr="000D2D9E" w:rsidRDefault="000D2D9E" w:rsidP="005E2BEC"/>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D7316B" w:rsidP="00D7316B">
      <w:pPr>
        <w:widowControl w:val="0"/>
        <w:numPr>
          <w:ilvl w:val="0"/>
          <w:numId w:val="2"/>
        </w:numPr>
        <w:tabs>
          <w:tab w:val="num" w:pos="708"/>
        </w:tabs>
        <w:spacing w:after="120"/>
        <w:jc w:val="both"/>
      </w:pPr>
      <w:bookmarkStart w:id="2" w:name="_Ref513823147"/>
      <w:bookmarkStart w:id="3" w:name="_Ref525570403"/>
      <w:r w:rsidRPr="00D7316B">
        <w:t>RP-182111</w:t>
      </w:r>
      <w:r w:rsidR="00A65F11">
        <w:t>, “</w:t>
      </w:r>
      <w:bookmarkEnd w:id="2"/>
      <w:r>
        <w:t>Revised</w:t>
      </w:r>
      <w:r w:rsidR="00A65F11" w:rsidRPr="00A65F11">
        <w:t xml:space="preserve"> SID: Study on NR V2X</w:t>
      </w:r>
      <w:r w:rsidR="00A65F11">
        <w:t>”</w:t>
      </w:r>
      <w:bookmarkEnd w:id="3"/>
    </w:p>
    <w:p w:rsidR="00F20BCF" w:rsidRDefault="00F20BCF" w:rsidP="00F20BCF">
      <w:pPr>
        <w:widowControl w:val="0"/>
        <w:numPr>
          <w:ilvl w:val="0"/>
          <w:numId w:val="2"/>
        </w:numPr>
        <w:tabs>
          <w:tab w:val="num" w:pos="708"/>
        </w:tabs>
        <w:spacing w:after="120"/>
        <w:jc w:val="both"/>
      </w:pPr>
      <w:r w:rsidRPr="00F20BCF">
        <w:t>TR 37.885</w:t>
      </w:r>
      <w:r>
        <w:t xml:space="preserve">, </w:t>
      </w:r>
      <w:r w:rsidRPr="00F20BCF">
        <w:t>Study on evaluation methodology of new Vehicle-to-Everything V2X use cases for LTE and NR</w:t>
      </w:r>
    </w:p>
    <w:p w:rsidR="00AD2A49" w:rsidRDefault="00331DF2" w:rsidP="00BF6869">
      <w:pPr>
        <w:widowControl w:val="0"/>
        <w:numPr>
          <w:ilvl w:val="0"/>
          <w:numId w:val="2"/>
        </w:numPr>
        <w:tabs>
          <w:tab w:val="num" w:pos="708"/>
        </w:tabs>
        <w:spacing w:after="120"/>
        <w:jc w:val="both"/>
      </w:pPr>
      <w:bookmarkStart w:id="4" w:name="_Ref525570386"/>
      <w:r>
        <w:rPr>
          <w:rFonts w:hint="eastAsia"/>
        </w:rPr>
        <w:t>RAN1#9</w:t>
      </w:r>
      <w:r>
        <w:t>4</w:t>
      </w:r>
      <w:r w:rsidR="00A37ACC">
        <w:t>bis</w:t>
      </w:r>
      <w:r>
        <w:rPr>
          <w:rFonts w:hint="eastAsia"/>
        </w:rPr>
        <w:t xml:space="preserve"> chairman notes</w:t>
      </w:r>
      <w:bookmarkEnd w:id="4"/>
      <w:r w:rsidR="00A37ACC">
        <w:t>, October 2018</w:t>
      </w:r>
    </w:p>
    <w:p w:rsidR="00E2641C" w:rsidRPr="00313E18" w:rsidRDefault="00E2641C" w:rsidP="00E2641C">
      <w:pPr>
        <w:widowControl w:val="0"/>
        <w:tabs>
          <w:tab w:val="num" w:pos="708"/>
        </w:tabs>
        <w:spacing w:after="120"/>
        <w:jc w:val="both"/>
      </w:pPr>
    </w:p>
    <w:sectPr w:rsidR="00E2641C" w:rsidRPr="00313E18"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12B" w:rsidRDefault="0004012B">
      <w:r>
        <w:separator/>
      </w:r>
    </w:p>
  </w:endnote>
  <w:endnote w:type="continuationSeparator" w:id="0">
    <w:p w:rsidR="0004012B" w:rsidRDefault="0004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DengXian"/>
    <w:panose1 w:val="03000509000000000000"/>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12B" w:rsidRDefault="0004012B">
      <w:r>
        <w:separator/>
      </w:r>
    </w:p>
  </w:footnote>
  <w:footnote w:type="continuationSeparator" w:id="0">
    <w:p w:rsidR="0004012B" w:rsidRDefault="00040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583_"/>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14"/>
  </w:num>
  <w:num w:numId="6">
    <w:abstractNumId w:val="1"/>
  </w:num>
  <w:num w:numId="7">
    <w:abstractNumId w:val="17"/>
  </w:num>
  <w:num w:numId="8">
    <w:abstractNumId w:val="7"/>
  </w:num>
  <w:num w:numId="9">
    <w:abstractNumId w:val="9"/>
  </w:num>
  <w:num w:numId="10">
    <w:abstractNumId w:val="13"/>
  </w:num>
  <w:num w:numId="11">
    <w:abstractNumId w:val="21"/>
  </w:num>
  <w:num w:numId="12">
    <w:abstractNumId w:val="23"/>
  </w:num>
  <w:num w:numId="13">
    <w:abstractNumId w:val="15"/>
  </w:num>
  <w:num w:numId="14">
    <w:abstractNumId w:val="18"/>
  </w:num>
  <w:num w:numId="15">
    <w:abstractNumId w:val="16"/>
  </w:num>
  <w:num w:numId="16">
    <w:abstractNumId w:val="4"/>
  </w:num>
  <w:num w:numId="17">
    <w:abstractNumId w:val="20"/>
  </w:num>
  <w:num w:numId="18">
    <w:abstractNumId w:val="10"/>
  </w:num>
  <w:num w:numId="19">
    <w:abstractNumId w:val="22"/>
  </w:num>
  <w:num w:numId="20">
    <w:abstractNumId w:val="8"/>
  </w:num>
  <w:num w:numId="21">
    <w:abstractNumId w:val="3"/>
  </w:num>
  <w:num w:numId="22">
    <w:abstractNumId w:val="6"/>
  </w:num>
  <w:num w:numId="2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12B"/>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45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5EE7"/>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737"/>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03"/>
    <w:rsid w:val="0014226D"/>
    <w:rsid w:val="00142C67"/>
    <w:rsid w:val="00142E42"/>
    <w:rsid w:val="001433C9"/>
    <w:rsid w:val="0014371C"/>
    <w:rsid w:val="0014380E"/>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6B7"/>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03"/>
    <w:rsid w:val="00177DFF"/>
    <w:rsid w:val="00177EBD"/>
    <w:rsid w:val="001800DB"/>
    <w:rsid w:val="00180149"/>
    <w:rsid w:val="0018016C"/>
    <w:rsid w:val="00180E60"/>
    <w:rsid w:val="001817BA"/>
    <w:rsid w:val="00181877"/>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C2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BE4"/>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54"/>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5B"/>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704"/>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8E4"/>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29F"/>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7F"/>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82"/>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4F"/>
    <w:rsid w:val="00385BD7"/>
    <w:rsid w:val="003862D5"/>
    <w:rsid w:val="00386683"/>
    <w:rsid w:val="00386A15"/>
    <w:rsid w:val="00386B71"/>
    <w:rsid w:val="0038702D"/>
    <w:rsid w:val="00387096"/>
    <w:rsid w:val="003870BC"/>
    <w:rsid w:val="00387178"/>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412E"/>
    <w:rsid w:val="003C4238"/>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4B1"/>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2D83"/>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4E1"/>
    <w:rsid w:val="004A28D4"/>
    <w:rsid w:val="004A2908"/>
    <w:rsid w:val="004A2B3D"/>
    <w:rsid w:val="004A2BE1"/>
    <w:rsid w:val="004A2E44"/>
    <w:rsid w:val="004A30F7"/>
    <w:rsid w:val="004A3471"/>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09E0"/>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8"/>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CA2"/>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0C7"/>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4A70"/>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2B8"/>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A66"/>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15"/>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2B"/>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21"/>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BAC"/>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D56"/>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CA"/>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F69"/>
    <w:rsid w:val="008E1217"/>
    <w:rsid w:val="008E16F9"/>
    <w:rsid w:val="008E18A3"/>
    <w:rsid w:val="008E1FDF"/>
    <w:rsid w:val="008E2051"/>
    <w:rsid w:val="008E20EC"/>
    <w:rsid w:val="008E2562"/>
    <w:rsid w:val="008E290D"/>
    <w:rsid w:val="008E2911"/>
    <w:rsid w:val="008E2B47"/>
    <w:rsid w:val="008E2C59"/>
    <w:rsid w:val="008E2EFE"/>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2AB"/>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06"/>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304"/>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0D8E"/>
    <w:rsid w:val="009E11A9"/>
    <w:rsid w:val="009E176B"/>
    <w:rsid w:val="009E1E13"/>
    <w:rsid w:val="009E1F70"/>
    <w:rsid w:val="009E1FFC"/>
    <w:rsid w:val="009E2A61"/>
    <w:rsid w:val="009E2F97"/>
    <w:rsid w:val="009E3235"/>
    <w:rsid w:val="009E3790"/>
    <w:rsid w:val="009E3864"/>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37ACC"/>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537"/>
    <w:rsid w:val="00A52C29"/>
    <w:rsid w:val="00A52D1E"/>
    <w:rsid w:val="00A52EF2"/>
    <w:rsid w:val="00A53785"/>
    <w:rsid w:val="00A539C9"/>
    <w:rsid w:val="00A53A6D"/>
    <w:rsid w:val="00A53EA7"/>
    <w:rsid w:val="00A54398"/>
    <w:rsid w:val="00A5444A"/>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3D"/>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1"/>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404"/>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72"/>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6C9"/>
    <w:rsid w:val="00B15A0F"/>
    <w:rsid w:val="00B167A6"/>
    <w:rsid w:val="00B16961"/>
    <w:rsid w:val="00B16B5F"/>
    <w:rsid w:val="00B1736C"/>
    <w:rsid w:val="00B17377"/>
    <w:rsid w:val="00B17493"/>
    <w:rsid w:val="00B17744"/>
    <w:rsid w:val="00B17F54"/>
    <w:rsid w:val="00B20057"/>
    <w:rsid w:val="00B2043A"/>
    <w:rsid w:val="00B20A3F"/>
    <w:rsid w:val="00B20AFD"/>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00"/>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CC2"/>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36E"/>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68D"/>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9"/>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4F97"/>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9A6"/>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434"/>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4BB"/>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6E0"/>
    <w:rsid w:val="00DA7A85"/>
    <w:rsid w:val="00DA7BC7"/>
    <w:rsid w:val="00DA7E4C"/>
    <w:rsid w:val="00DB0487"/>
    <w:rsid w:val="00DB0564"/>
    <w:rsid w:val="00DB0814"/>
    <w:rsid w:val="00DB1539"/>
    <w:rsid w:val="00DB19A4"/>
    <w:rsid w:val="00DB1D82"/>
    <w:rsid w:val="00DB1E74"/>
    <w:rsid w:val="00DB1F98"/>
    <w:rsid w:val="00DB1FBA"/>
    <w:rsid w:val="00DB2551"/>
    <w:rsid w:val="00DB2CC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DF7F7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41C"/>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58A"/>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D13"/>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0C4"/>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C9E"/>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2203"/>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1"/>
    <w:qFormat/>
    <w:rsid w:val="004A24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4A24E1"/>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A24E1"/>
    <w:pPr>
      <w:spacing w:before="120"/>
      <w:outlineLvl w:val="2"/>
    </w:pPr>
    <w:rPr>
      <w:sz w:val="28"/>
      <w:szCs w:val="28"/>
    </w:rPr>
  </w:style>
  <w:style w:type="paragraph" w:styleId="Heading4">
    <w:name w:val="heading 4"/>
    <w:aliases w:val="h4"/>
    <w:basedOn w:val="Heading3"/>
    <w:next w:val="Normal"/>
    <w:link w:val="Heading4Char"/>
    <w:qFormat/>
    <w:rsid w:val="004A24E1"/>
    <w:pPr>
      <w:ind w:left="1418" w:hanging="1418"/>
      <w:outlineLvl w:val="3"/>
    </w:pPr>
    <w:rPr>
      <w:sz w:val="24"/>
      <w:szCs w:val="24"/>
    </w:rPr>
  </w:style>
  <w:style w:type="paragraph" w:styleId="Heading5">
    <w:name w:val="heading 5"/>
    <w:basedOn w:val="Heading4"/>
    <w:next w:val="Normal"/>
    <w:link w:val="Heading5Char"/>
    <w:qFormat/>
    <w:rsid w:val="004A24E1"/>
    <w:pPr>
      <w:ind w:left="1701" w:hanging="1701"/>
      <w:outlineLvl w:val="4"/>
    </w:pPr>
    <w:rPr>
      <w:sz w:val="22"/>
      <w:szCs w:val="22"/>
    </w:rPr>
  </w:style>
  <w:style w:type="paragraph" w:styleId="Heading6">
    <w:name w:val="heading 6"/>
    <w:basedOn w:val="H6"/>
    <w:next w:val="Normal"/>
    <w:qFormat/>
    <w:rsid w:val="004A24E1"/>
    <w:pPr>
      <w:outlineLvl w:val="5"/>
    </w:pPr>
  </w:style>
  <w:style w:type="paragraph" w:styleId="Heading7">
    <w:name w:val="heading 7"/>
    <w:basedOn w:val="H6"/>
    <w:next w:val="Normal"/>
    <w:qFormat/>
    <w:rsid w:val="004A24E1"/>
    <w:pPr>
      <w:outlineLvl w:val="6"/>
    </w:pPr>
  </w:style>
  <w:style w:type="paragraph" w:styleId="Heading8">
    <w:name w:val="heading 8"/>
    <w:basedOn w:val="Heading1"/>
    <w:next w:val="Normal"/>
    <w:qFormat/>
    <w:rsid w:val="004A24E1"/>
    <w:pPr>
      <w:ind w:left="0" w:firstLine="0"/>
      <w:outlineLvl w:val="7"/>
    </w:pPr>
  </w:style>
  <w:style w:type="paragraph" w:styleId="Heading9">
    <w:name w:val="heading 9"/>
    <w:basedOn w:val="Heading8"/>
    <w:next w:val="Normal"/>
    <w:qFormat/>
    <w:rsid w:val="004A24E1"/>
    <w:pPr>
      <w:outlineLvl w:val="8"/>
    </w:pPr>
  </w:style>
  <w:style w:type="character" w:default="1" w:styleId="DefaultParagraphFont">
    <w:name w:val="Default Paragraph Font"/>
    <w:uiPriority w:val="1"/>
    <w:semiHidden/>
    <w:unhideWhenUsed/>
    <w:rsid w:val="001422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2203"/>
  </w:style>
  <w:style w:type="paragraph" w:styleId="TOC8">
    <w:name w:val="toc 8"/>
    <w:basedOn w:val="TOC1"/>
    <w:semiHidden/>
    <w:rsid w:val="004A24E1"/>
    <w:pPr>
      <w:spacing w:before="180"/>
      <w:ind w:left="2693" w:hanging="2693"/>
    </w:pPr>
    <w:rPr>
      <w:b/>
      <w:bCs/>
    </w:rPr>
  </w:style>
  <w:style w:type="paragraph" w:styleId="TOC1">
    <w:name w:val="toc 1"/>
    <w:semiHidden/>
    <w:rsid w:val="004A2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4A2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semiHidden/>
    <w:rsid w:val="004A24E1"/>
    <w:pPr>
      <w:ind w:left="1701" w:hanging="1701"/>
    </w:pPr>
  </w:style>
  <w:style w:type="paragraph" w:styleId="TOC4">
    <w:name w:val="toc 4"/>
    <w:basedOn w:val="TOC3"/>
    <w:semiHidden/>
    <w:rsid w:val="004A24E1"/>
    <w:pPr>
      <w:ind w:left="1418" w:hanging="1418"/>
    </w:pPr>
  </w:style>
  <w:style w:type="paragraph" w:styleId="TOC3">
    <w:name w:val="toc 3"/>
    <w:basedOn w:val="TOC2"/>
    <w:semiHidden/>
    <w:rsid w:val="004A24E1"/>
    <w:pPr>
      <w:ind w:left="1134" w:hanging="1134"/>
    </w:pPr>
  </w:style>
  <w:style w:type="paragraph" w:styleId="TOC2">
    <w:name w:val="toc 2"/>
    <w:basedOn w:val="TOC1"/>
    <w:semiHidden/>
    <w:rsid w:val="004A24E1"/>
    <w:pPr>
      <w:keepNext w:val="0"/>
      <w:spacing w:before="0"/>
      <w:ind w:left="851" w:hanging="851"/>
    </w:pPr>
    <w:rPr>
      <w:sz w:val="20"/>
      <w:szCs w:val="20"/>
    </w:rPr>
  </w:style>
  <w:style w:type="paragraph" w:styleId="Index2">
    <w:name w:val="index 2"/>
    <w:basedOn w:val="Index1"/>
    <w:semiHidden/>
    <w:rsid w:val="004A24E1"/>
    <w:pPr>
      <w:ind w:left="284"/>
    </w:pPr>
  </w:style>
  <w:style w:type="paragraph" w:styleId="Index1">
    <w:name w:val="index 1"/>
    <w:basedOn w:val="Normal"/>
    <w:semiHidden/>
    <w:rsid w:val="004A24E1"/>
    <w:pPr>
      <w:keepLines/>
      <w:spacing w:after="0"/>
    </w:pPr>
  </w:style>
  <w:style w:type="paragraph" w:customStyle="1" w:styleId="ZH">
    <w:name w:val="ZH"/>
    <w:rsid w:val="004A24E1"/>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4A24E1"/>
    <w:pPr>
      <w:outlineLvl w:val="9"/>
    </w:pPr>
  </w:style>
  <w:style w:type="paragraph" w:styleId="ListNumber2">
    <w:name w:val="List Number 2"/>
    <w:basedOn w:val="ListNumber"/>
    <w:rsid w:val="004A24E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24E1"/>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semiHidden/>
    <w:rsid w:val="004A24E1"/>
    <w:rPr>
      <w:b/>
      <w:bCs/>
      <w:position w:val="6"/>
      <w:sz w:val="16"/>
      <w:szCs w:val="16"/>
    </w:rPr>
  </w:style>
  <w:style w:type="paragraph" w:styleId="FootnoteText">
    <w:name w:val="footnote text"/>
    <w:basedOn w:val="Normal"/>
    <w:semiHidden/>
    <w:rsid w:val="004A24E1"/>
    <w:pPr>
      <w:keepLines/>
      <w:spacing w:after="0"/>
      <w:ind w:left="454" w:hanging="454"/>
    </w:pPr>
    <w:rPr>
      <w:sz w:val="16"/>
      <w:szCs w:val="16"/>
    </w:rPr>
  </w:style>
  <w:style w:type="paragraph" w:customStyle="1" w:styleId="TAH">
    <w:name w:val="TAH"/>
    <w:basedOn w:val="TAC"/>
    <w:rsid w:val="004A24E1"/>
    <w:rPr>
      <w:b/>
      <w:bCs/>
    </w:rPr>
  </w:style>
  <w:style w:type="paragraph" w:customStyle="1" w:styleId="TAC">
    <w:name w:val="TAC"/>
    <w:basedOn w:val="TAL"/>
    <w:link w:val="TACChar"/>
    <w:rsid w:val="004A24E1"/>
    <w:pPr>
      <w:jc w:val="center"/>
    </w:pPr>
  </w:style>
  <w:style w:type="paragraph" w:customStyle="1" w:styleId="TF">
    <w:name w:val="TF"/>
    <w:basedOn w:val="TH"/>
    <w:link w:val="TFChar"/>
    <w:rsid w:val="004A24E1"/>
    <w:pPr>
      <w:keepNext w:val="0"/>
      <w:spacing w:before="0" w:after="240"/>
    </w:pPr>
  </w:style>
  <w:style w:type="paragraph" w:customStyle="1" w:styleId="NO">
    <w:name w:val="NO"/>
    <w:basedOn w:val="Normal"/>
    <w:rsid w:val="004A24E1"/>
    <w:pPr>
      <w:keepLines/>
      <w:ind w:left="1135" w:hanging="851"/>
    </w:pPr>
  </w:style>
  <w:style w:type="paragraph" w:styleId="TOC9">
    <w:name w:val="toc 9"/>
    <w:basedOn w:val="TOC8"/>
    <w:semiHidden/>
    <w:rsid w:val="004A24E1"/>
    <w:pPr>
      <w:ind w:left="1418" w:hanging="1418"/>
    </w:pPr>
  </w:style>
  <w:style w:type="paragraph" w:customStyle="1" w:styleId="EX">
    <w:name w:val="EX"/>
    <w:basedOn w:val="Normal"/>
    <w:rsid w:val="004A24E1"/>
    <w:pPr>
      <w:keepLines/>
      <w:ind w:left="1702" w:hanging="1418"/>
    </w:pPr>
  </w:style>
  <w:style w:type="paragraph" w:customStyle="1" w:styleId="FP">
    <w:name w:val="FP"/>
    <w:basedOn w:val="Normal"/>
    <w:rsid w:val="004A24E1"/>
    <w:pPr>
      <w:spacing w:after="0"/>
    </w:pPr>
  </w:style>
  <w:style w:type="paragraph" w:customStyle="1" w:styleId="LD">
    <w:name w:val="LD"/>
    <w:rsid w:val="004A24E1"/>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4A24E1"/>
    <w:pPr>
      <w:spacing w:after="0"/>
    </w:pPr>
  </w:style>
  <w:style w:type="paragraph" w:customStyle="1" w:styleId="EW">
    <w:name w:val="EW"/>
    <w:basedOn w:val="EX"/>
    <w:rsid w:val="004A24E1"/>
    <w:pPr>
      <w:spacing w:after="0"/>
    </w:pPr>
  </w:style>
  <w:style w:type="paragraph" w:styleId="TOC6">
    <w:name w:val="toc 6"/>
    <w:basedOn w:val="TOC5"/>
    <w:next w:val="Normal"/>
    <w:semiHidden/>
    <w:rsid w:val="004A24E1"/>
    <w:pPr>
      <w:ind w:left="1985" w:hanging="1985"/>
    </w:pPr>
  </w:style>
  <w:style w:type="paragraph" w:styleId="TOC7">
    <w:name w:val="toc 7"/>
    <w:basedOn w:val="TOC6"/>
    <w:next w:val="Normal"/>
    <w:semiHidden/>
    <w:rsid w:val="004A24E1"/>
    <w:pPr>
      <w:ind w:left="2268" w:hanging="2268"/>
    </w:pPr>
  </w:style>
  <w:style w:type="paragraph" w:styleId="ListBullet2">
    <w:name w:val="List Bullet 2"/>
    <w:basedOn w:val="ListBullet"/>
    <w:rsid w:val="004A24E1"/>
    <w:pPr>
      <w:ind w:left="851"/>
    </w:pPr>
  </w:style>
  <w:style w:type="paragraph" w:styleId="ListBullet3">
    <w:name w:val="List Bullet 3"/>
    <w:basedOn w:val="ListBullet2"/>
    <w:rsid w:val="004A24E1"/>
    <w:pPr>
      <w:ind w:left="1135"/>
    </w:pPr>
  </w:style>
  <w:style w:type="paragraph" w:styleId="ListNumber">
    <w:name w:val="List Number"/>
    <w:basedOn w:val="List"/>
    <w:rsid w:val="004A24E1"/>
  </w:style>
  <w:style w:type="paragraph" w:customStyle="1" w:styleId="EQ">
    <w:name w:val="EQ"/>
    <w:basedOn w:val="Normal"/>
    <w:next w:val="Normal"/>
    <w:rsid w:val="004A24E1"/>
    <w:pPr>
      <w:keepLines/>
      <w:tabs>
        <w:tab w:val="center" w:pos="4536"/>
        <w:tab w:val="right" w:pos="9072"/>
      </w:tabs>
    </w:pPr>
    <w:rPr>
      <w:noProof/>
    </w:rPr>
  </w:style>
  <w:style w:type="paragraph" w:customStyle="1" w:styleId="TH">
    <w:name w:val="TH"/>
    <w:basedOn w:val="Normal"/>
    <w:link w:val="THChar"/>
    <w:rsid w:val="004A24E1"/>
    <w:pPr>
      <w:keepNext/>
      <w:keepLines/>
      <w:spacing w:before="60"/>
      <w:jc w:val="center"/>
    </w:pPr>
    <w:rPr>
      <w:rFonts w:ascii="Arial" w:hAnsi="Arial" w:cs="Arial"/>
      <w:b/>
      <w:bCs/>
    </w:rPr>
  </w:style>
  <w:style w:type="paragraph" w:customStyle="1" w:styleId="NF">
    <w:name w:val="NF"/>
    <w:basedOn w:val="NO"/>
    <w:rsid w:val="004A24E1"/>
    <w:pPr>
      <w:keepNext/>
      <w:spacing w:after="0"/>
    </w:pPr>
    <w:rPr>
      <w:rFonts w:ascii="Arial" w:hAnsi="Arial" w:cs="Arial"/>
      <w:sz w:val="18"/>
      <w:szCs w:val="18"/>
    </w:rPr>
  </w:style>
  <w:style w:type="paragraph" w:customStyle="1" w:styleId="PL">
    <w:name w:val="PL"/>
    <w:link w:val="PLChar"/>
    <w:rsid w:val="004A2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4A24E1"/>
    <w:pPr>
      <w:jc w:val="right"/>
    </w:pPr>
  </w:style>
  <w:style w:type="paragraph" w:customStyle="1" w:styleId="H6">
    <w:name w:val="H6"/>
    <w:basedOn w:val="Heading5"/>
    <w:next w:val="Normal"/>
    <w:rsid w:val="004A24E1"/>
    <w:pPr>
      <w:ind w:left="1985" w:hanging="1985"/>
      <w:outlineLvl w:val="9"/>
    </w:pPr>
    <w:rPr>
      <w:sz w:val="20"/>
      <w:szCs w:val="20"/>
    </w:rPr>
  </w:style>
  <w:style w:type="paragraph" w:customStyle="1" w:styleId="TAN">
    <w:name w:val="TAN"/>
    <w:basedOn w:val="TAL"/>
    <w:rsid w:val="004A24E1"/>
    <w:pPr>
      <w:ind w:left="851" w:hanging="851"/>
    </w:pPr>
  </w:style>
  <w:style w:type="paragraph" w:customStyle="1" w:styleId="TAL">
    <w:name w:val="TAL"/>
    <w:basedOn w:val="Normal"/>
    <w:link w:val="TALCar"/>
    <w:rsid w:val="004A24E1"/>
    <w:pPr>
      <w:keepNext/>
      <w:keepLines/>
      <w:spacing w:after="0"/>
    </w:pPr>
    <w:rPr>
      <w:rFonts w:ascii="Arial" w:hAnsi="Arial" w:cs="Arial"/>
      <w:sz w:val="18"/>
      <w:szCs w:val="18"/>
    </w:rPr>
  </w:style>
  <w:style w:type="paragraph" w:customStyle="1" w:styleId="ZA">
    <w:name w:val="ZA"/>
    <w:rsid w:val="004A2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4A2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4A24E1"/>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4A2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4A24E1"/>
    <w:pPr>
      <w:framePr w:wrap="notBeside" w:y="16161"/>
    </w:pPr>
  </w:style>
  <w:style w:type="character" w:customStyle="1" w:styleId="ZGSM">
    <w:name w:val="ZGSM"/>
    <w:rsid w:val="004A24E1"/>
  </w:style>
  <w:style w:type="paragraph" w:styleId="List2">
    <w:name w:val="List 2"/>
    <w:basedOn w:val="List"/>
    <w:rsid w:val="004A24E1"/>
    <w:pPr>
      <w:ind w:left="851"/>
    </w:pPr>
  </w:style>
  <w:style w:type="paragraph" w:customStyle="1" w:styleId="ZG">
    <w:name w:val="ZG"/>
    <w:rsid w:val="004A2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4A24E1"/>
    <w:pPr>
      <w:ind w:left="1135"/>
    </w:pPr>
  </w:style>
  <w:style w:type="paragraph" w:styleId="List4">
    <w:name w:val="List 4"/>
    <w:basedOn w:val="List3"/>
    <w:rsid w:val="004A24E1"/>
    <w:pPr>
      <w:ind w:left="1418"/>
    </w:pPr>
  </w:style>
  <w:style w:type="paragraph" w:styleId="List5">
    <w:name w:val="List 5"/>
    <w:basedOn w:val="List4"/>
    <w:rsid w:val="004A24E1"/>
    <w:pPr>
      <w:ind w:left="1702"/>
    </w:pPr>
  </w:style>
  <w:style w:type="paragraph" w:customStyle="1" w:styleId="EditorsNote">
    <w:name w:val="Editor's Note"/>
    <w:basedOn w:val="NO"/>
    <w:rsid w:val="004A24E1"/>
    <w:rPr>
      <w:color w:val="FF0000"/>
    </w:rPr>
  </w:style>
  <w:style w:type="paragraph" w:styleId="List">
    <w:name w:val="List"/>
    <w:basedOn w:val="Normal"/>
    <w:rsid w:val="004A24E1"/>
    <w:pPr>
      <w:ind w:left="568" w:hanging="284"/>
    </w:pPr>
  </w:style>
  <w:style w:type="paragraph" w:styleId="ListBullet">
    <w:name w:val="List Bullet"/>
    <w:basedOn w:val="List"/>
    <w:rsid w:val="004A24E1"/>
  </w:style>
  <w:style w:type="paragraph" w:styleId="ListBullet4">
    <w:name w:val="List Bullet 4"/>
    <w:basedOn w:val="ListBullet3"/>
    <w:rsid w:val="004A24E1"/>
    <w:pPr>
      <w:ind w:left="1418"/>
    </w:pPr>
  </w:style>
  <w:style w:type="paragraph" w:styleId="ListBullet5">
    <w:name w:val="List Bullet 5"/>
    <w:basedOn w:val="ListBullet4"/>
    <w:rsid w:val="004A24E1"/>
    <w:pPr>
      <w:ind w:left="1702"/>
    </w:pPr>
  </w:style>
  <w:style w:type="paragraph" w:customStyle="1" w:styleId="B1">
    <w:name w:val="B1"/>
    <w:basedOn w:val="List"/>
    <w:rsid w:val="004A24E1"/>
  </w:style>
  <w:style w:type="paragraph" w:customStyle="1" w:styleId="B2">
    <w:name w:val="B2"/>
    <w:basedOn w:val="List2"/>
    <w:rsid w:val="004A24E1"/>
  </w:style>
  <w:style w:type="paragraph" w:customStyle="1" w:styleId="B3">
    <w:name w:val="B3"/>
    <w:basedOn w:val="List3"/>
    <w:rsid w:val="004A24E1"/>
  </w:style>
  <w:style w:type="paragraph" w:customStyle="1" w:styleId="B4">
    <w:name w:val="B4"/>
    <w:basedOn w:val="List4"/>
    <w:rsid w:val="004A24E1"/>
  </w:style>
  <w:style w:type="paragraph" w:customStyle="1" w:styleId="B5">
    <w:name w:val="B5"/>
    <w:basedOn w:val="List5"/>
    <w:rsid w:val="004A24E1"/>
  </w:style>
  <w:style w:type="paragraph" w:styleId="Footer">
    <w:name w:val="footer"/>
    <w:basedOn w:val="Header"/>
    <w:link w:val="FooterChar"/>
    <w:rsid w:val="004A24E1"/>
    <w:pPr>
      <w:jc w:val="center"/>
    </w:pPr>
    <w:rPr>
      <w:i/>
      <w:iCs/>
    </w:rPr>
  </w:style>
  <w:style w:type="paragraph" w:customStyle="1" w:styleId="ZTD">
    <w:name w:val="ZTD"/>
    <w:basedOn w:val="ZB"/>
    <w:rsid w:val="004A24E1"/>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eastAsia="Times New Roman" w:hAnsi="Arial" w:cs="Arial"/>
      <w:sz w:val="36"/>
      <w:szCs w:val="36"/>
      <w:lang w:val="en-GB" w:eastAsia="en-GB"/>
    </w:rPr>
  </w:style>
  <w:style w:type="character" w:customStyle="1" w:styleId="Heading2Char">
    <w:name w:val="Heading 2 Char"/>
    <w:link w:val="Heading2"/>
    <w:rsid w:val="00184F51"/>
    <w:rPr>
      <w:rFonts w:ascii="Arial" w:eastAsia="Times New Roman" w:hAnsi="Arial" w:cs="Arial"/>
      <w:sz w:val="32"/>
      <w:szCs w:val="32"/>
      <w:lang w:val="en-GB" w:eastAsia="en-GB"/>
    </w:rPr>
  </w:style>
  <w:style w:type="character" w:customStyle="1" w:styleId="Heading3Char">
    <w:name w:val="Heading 3 Char"/>
    <w:link w:val="Heading3"/>
    <w:rsid w:val="00184F51"/>
    <w:rPr>
      <w:rFonts w:ascii="Arial" w:eastAsia="Times New Roman" w:hAnsi="Arial" w:cs="Arial"/>
      <w:sz w:val="28"/>
      <w:szCs w:val="28"/>
      <w:lang w:val="en-GB" w:eastAsia="en-GB"/>
    </w:rPr>
  </w:style>
  <w:style w:type="character" w:customStyle="1" w:styleId="Heading4Char">
    <w:name w:val="Heading 4 Char"/>
    <w:aliases w:val="h4 Char"/>
    <w:link w:val="Heading4"/>
    <w:rsid w:val="00184F51"/>
    <w:rPr>
      <w:rFonts w:ascii="Arial" w:eastAsia="Times New Roman" w:hAnsi="Arial" w:cs="Arial"/>
      <w:sz w:val="24"/>
      <w:szCs w:val="24"/>
      <w:lang w:val="en-GB" w:eastAsia="en-GB"/>
    </w:rPr>
  </w:style>
  <w:style w:type="character" w:customStyle="1" w:styleId="Heading5Char">
    <w:name w:val="Heading 5 Char"/>
    <w:link w:val="Heading5"/>
    <w:rsid w:val="00184F51"/>
    <w:rPr>
      <w:rFonts w:ascii="Arial" w:eastAsia="Times New Roman" w:hAnsi="Arial" w:cs="Arial"/>
      <w:sz w:val="22"/>
      <w:szCs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lang w:val="en-GB" w:eastAsia="en-GB"/>
    </w:rPr>
  </w:style>
  <w:style w:type="character" w:customStyle="1" w:styleId="PLChar">
    <w:name w:val="PL Char"/>
    <w:link w:val="PL"/>
    <w:rsid w:val="00A47182"/>
    <w:rPr>
      <w:rFonts w:ascii="Courier New" w:eastAsia="Times New Roman" w:hAnsi="Courier New" w:cs="Courier New"/>
      <w:noProof/>
      <w:sz w:val="16"/>
      <w:szCs w:val="16"/>
      <w:lang w:val="en-GB" w:eastAsia="en-GB"/>
    </w:rPr>
  </w:style>
  <w:style w:type="character" w:customStyle="1" w:styleId="TALCar">
    <w:name w:val="TAL Car"/>
    <w:link w:val="TAL"/>
    <w:rsid w:val="00A47182"/>
    <w:rPr>
      <w:rFonts w:ascii="Arial" w:eastAsia="Times New Roman" w:hAnsi="Arial" w:cs="Arial"/>
      <w:sz w:val="18"/>
      <w:szCs w:val="18"/>
      <w:lang w:val="en-GB" w:eastAsia="en-GB"/>
    </w:rPr>
  </w:style>
  <w:style w:type="character" w:customStyle="1" w:styleId="THChar">
    <w:name w:val="TH Char"/>
    <w:link w:val="TH"/>
    <w:rsid w:val="00A47182"/>
    <w:rPr>
      <w:rFonts w:ascii="Arial" w:eastAsia="Times New Roman" w:hAnsi="Arial" w:cs="Arial"/>
      <w:b/>
      <w:bCs/>
      <w:lang w:val="en-GB" w:eastAsia="en-GB"/>
    </w:rPr>
  </w:style>
  <w:style w:type="character" w:customStyle="1" w:styleId="TACChar">
    <w:name w:val="TAC Char"/>
    <w:link w:val="TAC"/>
    <w:locked/>
    <w:rsid w:val="00263ABC"/>
    <w:rPr>
      <w:rFonts w:ascii="Arial" w:eastAsia="Times New Roman" w:hAnsi="Arial" w:cs="Arial"/>
      <w:sz w:val="18"/>
      <w:szCs w:val="18"/>
      <w:lang w:val="en-GB" w:eastAsia="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lang w:val="en-GB" w:eastAsia="en-GB"/>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link w:val="LGTdocChar"/>
    <w:rsid w:val="000B1547"/>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28085B"/>
    <w:rPr>
      <w:rFonts w:asciiTheme="minorHAnsi" w:eastAsia="Batang" w:hAnsiTheme="minorHAnsi" w:cstheme="minorBidi"/>
      <w:kern w:val="2"/>
      <w:sz w:val="22"/>
      <w:szCs w:val="24"/>
      <w:lang w:eastAsia="ko-KR"/>
    </w:rPr>
  </w:style>
  <w:style w:type="paragraph" w:customStyle="1" w:styleId="bullet1">
    <w:name w:val="bullet1"/>
    <w:basedOn w:val="Normal"/>
    <w:link w:val="bullet1Char"/>
    <w:qFormat/>
    <w:rsid w:val="0028085B"/>
    <w:pPr>
      <w:numPr>
        <w:numId w:val="23"/>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28085B"/>
    <w:pPr>
      <w:numPr>
        <w:ilvl w:val="1"/>
        <w:numId w:val="23"/>
      </w:numPr>
      <w:spacing w:after="0" w:line="240" w:lineRule="auto"/>
    </w:pPr>
    <w:rPr>
      <w:rFonts w:ascii="Times" w:eastAsia="Batang" w:hAnsi="Times" w:cs="Times New Roman"/>
      <w:sz w:val="20"/>
      <w:szCs w:val="24"/>
    </w:rPr>
  </w:style>
  <w:style w:type="character" w:customStyle="1" w:styleId="bullet1Char">
    <w:name w:val="bullet1 Char"/>
    <w:link w:val="bullet1"/>
    <w:rsid w:val="0028085B"/>
    <w:rPr>
      <w:rFonts w:ascii="Times" w:eastAsia="Batang" w:hAnsi="Times"/>
      <w:szCs w:val="24"/>
      <w:lang w:val="en-GB" w:eastAsia="en-US"/>
    </w:rPr>
  </w:style>
  <w:style w:type="paragraph" w:customStyle="1" w:styleId="bullet3">
    <w:name w:val="bullet3"/>
    <w:basedOn w:val="Normal"/>
    <w:qFormat/>
    <w:rsid w:val="0028085B"/>
    <w:pPr>
      <w:numPr>
        <w:ilvl w:val="2"/>
        <w:numId w:val="23"/>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28085B"/>
    <w:pPr>
      <w:numPr>
        <w:ilvl w:val="3"/>
        <w:numId w:val="23"/>
      </w:numPr>
      <w:spacing w:after="0" w:line="240" w:lineRule="auto"/>
    </w:pPr>
    <w:rPr>
      <w:rFonts w:ascii="Times" w:eastAsia="Batang" w:hAnsi="Times" w:cs="Times New Roman"/>
      <w:sz w:val="20"/>
      <w:szCs w:val="24"/>
    </w:rPr>
  </w:style>
  <w:style w:type="character" w:customStyle="1" w:styleId="bullet2Char">
    <w:name w:val="bullet2 Char"/>
    <w:link w:val="bullet2"/>
    <w:rsid w:val="0028085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1943</Words>
  <Characters>11078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2018-09-28T17:22:00Z</dcterms:created>
  <dcterms:modified xsi:type="dcterms:W3CDTF">2018-11-03T03:54:00Z</dcterms:modified>
</cp:coreProperties>
</file>